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1C77A">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bookmarkStart w:id="21" w:name="_GoBack"/>
      <w:bookmarkEnd w:id="21"/>
    </w:p>
    <w:p w14:paraId="566E478B">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5FBB907D">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39A2E1F4">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0B36D2A3">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38C31F9D">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30A098F0">
      <w:pPr>
        <w:widowControl/>
        <w:shd w:val="clear"/>
        <w:overflowPunct w:val="0"/>
        <w:autoSpaceDE/>
        <w:autoSpaceDN/>
        <w:spacing w:line="560" w:lineRule="exact"/>
        <w:jc w:val="both"/>
        <w:rPr>
          <w:rFonts w:ascii="Times New Roman" w:hAnsi="Times New Roman" w:eastAsia="小标宋" w:cs="小标宋"/>
          <w:color w:val="auto"/>
          <w:sz w:val="44"/>
          <w:szCs w:val="44"/>
          <w:highlight w:val="none"/>
        </w:rPr>
      </w:pPr>
    </w:p>
    <w:p w14:paraId="1C17ECEE">
      <w:pPr>
        <w:widowControl/>
        <w:shd w:val="clear"/>
        <w:overflowPunct w:val="0"/>
        <w:autoSpaceDE/>
        <w:autoSpaceDN/>
        <w:spacing w:line="560" w:lineRule="exact"/>
        <w:jc w:val="center"/>
        <w:rPr>
          <w:rFonts w:ascii="Times New Roman" w:hAnsi="Times New Roman" w:eastAsia="小标宋" w:cs="小标宋"/>
          <w:color w:val="auto"/>
          <w:sz w:val="44"/>
          <w:szCs w:val="44"/>
          <w:highlight w:val="none"/>
        </w:rPr>
      </w:pPr>
      <w:r>
        <w:rPr>
          <w:rFonts w:hint="eastAsia" w:ascii="Times New Roman" w:hAnsi="Times New Roman" w:eastAsia="小标宋" w:cs="小标宋"/>
          <w:color w:val="auto"/>
          <w:sz w:val="44"/>
          <w:szCs w:val="44"/>
          <w:highlight w:val="none"/>
        </w:rPr>
        <w:t>中国研究生创新实践系列大赛</w:t>
      </w:r>
    </w:p>
    <w:p w14:paraId="5CE933B6">
      <w:pPr>
        <w:widowControl/>
        <w:shd w:val="clear"/>
        <w:overflowPunct w:val="0"/>
        <w:autoSpaceDE/>
        <w:autoSpaceDN/>
        <w:spacing w:line="560" w:lineRule="exact"/>
        <w:jc w:val="center"/>
        <w:rPr>
          <w:rFonts w:ascii="Times New Roman" w:hAnsi="Times New Roman" w:eastAsia="小标宋" w:cs="小标宋"/>
          <w:color w:val="auto"/>
          <w:sz w:val="44"/>
          <w:szCs w:val="44"/>
          <w:highlight w:val="none"/>
        </w:rPr>
      </w:pPr>
      <w:bookmarkStart w:id="0" w:name="_Toc4759"/>
      <w:bookmarkStart w:id="1" w:name="_Toc3758"/>
      <w:r>
        <w:rPr>
          <w:rFonts w:hint="eastAsia" w:ascii="Times New Roman" w:hAnsi="Times New Roman" w:eastAsia="小标宋" w:cs="小标宋"/>
          <w:color w:val="auto"/>
          <w:sz w:val="44"/>
          <w:szCs w:val="44"/>
          <w:highlight w:val="none"/>
        </w:rPr>
        <w:t>第二十</w:t>
      </w:r>
      <w:r>
        <w:rPr>
          <w:rFonts w:hint="eastAsia" w:ascii="Times New Roman" w:hAnsi="Times New Roman" w:eastAsia="小标宋" w:cs="小标宋"/>
          <w:color w:val="auto"/>
          <w:sz w:val="44"/>
          <w:szCs w:val="44"/>
          <w:highlight w:val="none"/>
          <w:lang w:val="en-US"/>
        </w:rPr>
        <w:t>一</w:t>
      </w:r>
      <w:r>
        <w:rPr>
          <w:rFonts w:hint="eastAsia" w:ascii="Times New Roman" w:hAnsi="Times New Roman" w:eastAsia="小标宋" w:cs="小标宋"/>
          <w:color w:val="auto"/>
          <w:sz w:val="44"/>
          <w:szCs w:val="44"/>
          <w:highlight w:val="none"/>
        </w:rPr>
        <w:t>届中国研究生电子设计竞赛</w:t>
      </w:r>
    </w:p>
    <w:bookmarkEnd w:id="0"/>
    <w:bookmarkEnd w:id="1"/>
    <w:p w14:paraId="7971B15E">
      <w:pPr>
        <w:widowControl/>
        <w:shd w:val="clear"/>
        <w:overflowPunct w:val="0"/>
        <w:autoSpaceDE/>
        <w:autoSpaceDN/>
        <w:spacing w:line="560" w:lineRule="exact"/>
        <w:jc w:val="center"/>
        <w:rPr>
          <w:rFonts w:ascii="Times New Roman" w:hAnsi="Times New Roman" w:eastAsia="小标宋" w:cs="小标宋"/>
          <w:color w:val="auto"/>
          <w:sz w:val="44"/>
          <w:szCs w:val="44"/>
          <w:highlight w:val="none"/>
          <w:lang w:val="en-US"/>
        </w:rPr>
      </w:pPr>
      <w:r>
        <w:rPr>
          <w:rFonts w:hint="eastAsia" w:eastAsia="小标宋" w:cs="小标宋"/>
          <w:color w:val="auto"/>
          <w:sz w:val="44"/>
          <w:szCs w:val="44"/>
          <w:highlight w:val="none"/>
        </w:rPr>
        <w:t>商业计划书专项赛</w:t>
      </w:r>
      <w:r>
        <w:rPr>
          <w:rFonts w:hint="eastAsia" w:ascii="Times New Roman" w:hAnsi="Times New Roman" w:eastAsia="小标宋" w:cs="小标宋"/>
          <w:color w:val="auto"/>
          <w:sz w:val="44"/>
          <w:szCs w:val="44"/>
          <w:highlight w:val="none"/>
        </w:rPr>
        <w:t>参赛说明</w:t>
      </w:r>
    </w:p>
    <w:p w14:paraId="19AE64B4">
      <w:pPr>
        <w:widowControl/>
        <w:shd w:val="clear"/>
        <w:overflowPunct w:val="0"/>
        <w:autoSpaceDE/>
        <w:autoSpaceDN/>
        <w:spacing w:line="560" w:lineRule="exact"/>
        <w:jc w:val="center"/>
        <w:rPr>
          <w:rFonts w:ascii="Times New Roman" w:hAnsi="Times New Roman" w:eastAsia="小标宋" w:cs="小标宋"/>
          <w:bCs/>
          <w:color w:val="auto"/>
          <w:sz w:val="44"/>
          <w:highlight w:val="none"/>
        </w:rPr>
      </w:pPr>
    </w:p>
    <w:p w14:paraId="525A031D">
      <w:pPr>
        <w:widowControl/>
        <w:shd w:val="clear"/>
        <w:overflowPunct w:val="0"/>
        <w:autoSpaceDE/>
        <w:autoSpaceDN/>
        <w:spacing w:line="560" w:lineRule="exact"/>
        <w:jc w:val="both"/>
        <w:rPr>
          <w:rFonts w:ascii="Times New Roman" w:hAnsi="Times New Roman" w:eastAsia="小标宋" w:cs="小标宋"/>
          <w:bCs/>
          <w:color w:val="auto"/>
          <w:sz w:val="44"/>
          <w:highlight w:val="none"/>
        </w:rPr>
      </w:pPr>
    </w:p>
    <w:p w14:paraId="62365270">
      <w:pPr>
        <w:widowControl/>
        <w:shd w:val="clear"/>
        <w:overflowPunct w:val="0"/>
        <w:autoSpaceDE/>
        <w:autoSpaceDN/>
        <w:spacing w:line="560" w:lineRule="exact"/>
        <w:jc w:val="both"/>
        <w:rPr>
          <w:rFonts w:ascii="Times New Roman" w:hAnsi="Times New Roman" w:eastAsia="小标宋" w:cs="小标宋"/>
          <w:bCs/>
          <w:color w:val="auto"/>
          <w:sz w:val="44"/>
          <w:highlight w:val="none"/>
        </w:rPr>
      </w:pPr>
    </w:p>
    <w:p w14:paraId="590589E6">
      <w:pPr>
        <w:widowControl/>
        <w:shd w:val="clear"/>
        <w:overflowPunct w:val="0"/>
        <w:autoSpaceDE/>
        <w:autoSpaceDN/>
        <w:spacing w:line="560" w:lineRule="exact"/>
        <w:jc w:val="both"/>
        <w:rPr>
          <w:rFonts w:ascii="Times New Roman" w:hAnsi="Times New Roman" w:eastAsia="小标宋" w:cs="小标宋"/>
          <w:bCs/>
          <w:color w:val="auto"/>
          <w:sz w:val="44"/>
          <w:highlight w:val="none"/>
        </w:rPr>
      </w:pPr>
    </w:p>
    <w:p w14:paraId="44881605">
      <w:pPr>
        <w:widowControl/>
        <w:shd w:val="clear"/>
        <w:overflowPunct w:val="0"/>
        <w:autoSpaceDE/>
        <w:autoSpaceDN/>
        <w:spacing w:line="560" w:lineRule="exact"/>
        <w:jc w:val="center"/>
        <w:rPr>
          <w:rFonts w:ascii="Times New Roman" w:hAnsi="Times New Roman"/>
          <w:color w:val="auto"/>
          <w:sz w:val="32"/>
          <w:szCs w:val="32"/>
          <w:highlight w:val="none"/>
        </w:rPr>
      </w:pPr>
    </w:p>
    <w:p w14:paraId="33C19303">
      <w:pPr>
        <w:widowControl/>
        <w:shd w:val="clear"/>
        <w:overflowPunct w:val="0"/>
        <w:autoSpaceDE/>
        <w:autoSpaceDN/>
        <w:spacing w:line="560" w:lineRule="exact"/>
        <w:jc w:val="center"/>
        <w:rPr>
          <w:rFonts w:ascii="Times New Roman" w:hAnsi="Times New Roman"/>
          <w:color w:val="auto"/>
          <w:sz w:val="32"/>
          <w:szCs w:val="32"/>
          <w:highlight w:val="none"/>
        </w:rPr>
      </w:pPr>
    </w:p>
    <w:p w14:paraId="2431A1B9">
      <w:pPr>
        <w:widowControl/>
        <w:shd w:val="clear"/>
        <w:overflowPunct w:val="0"/>
        <w:autoSpaceDE/>
        <w:autoSpaceDN/>
        <w:spacing w:line="560" w:lineRule="exact"/>
        <w:jc w:val="center"/>
        <w:rPr>
          <w:rFonts w:ascii="Times New Roman" w:hAnsi="Times New Roman"/>
          <w:color w:val="auto"/>
          <w:sz w:val="32"/>
          <w:szCs w:val="32"/>
          <w:highlight w:val="none"/>
        </w:rPr>
      </w:pPr>
    </w:p>
    <w:p w14:paraId="1F160290">
      <w:pPr>
        <w:widowControl/>
        <w:shd w:val="clear"/>
        <w:overflowPunct w:val="0"/>
        <w:autoSpaceDE/>
        <w:autoSpaceDN/>
        <w:spacing w:line="560" w:lineRule="exact"/>
        <w:jc w:val="center"/>
        <w:rPr>
          <w:rFonts w:ascii="Times New Roman" w:hAnsi="Times New Roman"/>
          <w:color w:val="auto"/>
          <w:sz w:val="32"/>
          <w:szCs w:val="32"/>
          <w:highlight w:val="none"/>
        </w:rPr>
      </w:pPr>
    </w:p>
    <w:p w14:paraId="2A6D0550">
      <w:pPr>
        <w:widowControl/>
        <w:shd w:val="clear"/>
        <w:overflowPunct w:val="0"/>
        <w:autoSpaceDE/>
        <w:autoSpaceDN/>
        <w:spacing w:line="560" w:lineRule="exact"/>
        <w:jc w:val="center"/>
        <w:rPr>
          <w:rFonts w:ascii="Times New Roman" w:hAnsi="Times New Roman"/>
          <w:color w:val="auto"/>
          <w:sz w:val="32"/>
          <w:szCs w:val="32"/>
          <w:highlight w:val="none"/>
        </w:rPr>
      </w:pPr>
    </w:p>
    <w:p w14:paraId="33718DFA">
      <w:pPr>
        <w:widowControl/>
        <w:shd w:val="clear"/>
        <w:overflowPunct w:val="0"/>
        <w:autoSpaceDE/>
        <w:autoSpaceDN/>
        <w:spacing w:line="560" w:lineRule="exact"/>
        <w:jc w:val="center"/>
        <w:rPr>
          <w:rFonts w:ascii="Times New Roman" w:hAnsi="Times New Roman"/>
          <w:color w:val="auto"/>
          <w:sz w:val="32"/>
          <w:szCs w:val="32"/>
          <w:highlight w:val="none"/>
        </w:rPr>
      </w:pPr>
    </w:p>
    <w:p w14:paraId="26608757">
      <w:pPr>
        <w:widowControl/>
        <w:shd w:val="clear"/>
        <w:overflowPunct w:val="0"/>
        <w:autoSpaceDE/>
        <w:autoSpaceDN/>
        <w:spacing w:line="560" w:lineRule="exact"/>
        <w:jc w:val="center"/>
        <w:rPr>
          <w:rFonts w:ascii="Times New Roman" w:hAnsi="Times New Roman"/>
          <w:color w:val="auto"/>
          <w:sz w:val="32"/>
          <w:szCs w:val="32"/>
          <w:highlight w:val="none"/>
        </w:rPr>
      </w:pPr>
    </w:p>
    <w:p w14:paraId="6034CE13">
      <w:pPr>
        <w:widowControl/>
        <w:shd w:val="clear"/>
        <w:overflowPunct w:val="0"/>
        <w:autoSpaceDE/>
        <w:autoSpaceDN/>
        <w:spacing w:line="560" w:lineRule="exact"/>
        <w:jc w:val="center"/>
        <w:rPr>
          <w:rFonts w:ascii="Times New Roman" w:hAnsi="Times New Roman"/>
          <w:color w:val="auto"/>
          <w:sz w:val="32"/>
          <w:szCs w:val="32"/>
          <w:highlight w:val="none"/>
        </w:rPr>
      </w:pPr>
    </w:p>
    <w:p w14:paraId="64D294F4">
      <w:pPr>
        <w:widowControl/>
        <w:shd w:val="clear"/>
        <w:overflowPunct w:val="0"/>
        <w:autoSpaceDE/>
        <w:autoSpaceDN/>
        <w:spacing w:line="560" w:lineRule="exact"/>
        <w:jc w:val="center"/>
        <w:rPr>
          <w:rFonts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中国研究生电子设计竞赛组委会</w:t>
      </w:r>
    </w:p>
    <w:p w14:paraId="7DA93D9D">
      <w:pPr>
        <w:shd w:val="clear"/>
        <w:jc w:val="center"/>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lang w:val="en-US" w:eastAsia="zh-CN"/>
        </w:rPr>
        <w:t>2026年3月</w:t>
      </w:r>
      <w:r>
        <w:rPr>
          <w:rFonts w:hint="eastAsia" w:ascii="Times New Roman" w:hAnsi="Times New Roman" w:eastAsia="黑体" w:cs="黑体"/>
          <w:color w:val="auto"/>
          <w:sz w:val="32"/>
          <w:szCs w:val="32"/>
          <w:highlight w:val="none"/>
        </w:rPr>
        <w:br w:type="page"/>
      </w:r>
    </w:p>
    <w:p w14:paraId="31E77D0B">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2F2618C4">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576FC4A8">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13CC6BBB">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32CF96C0">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71989B2B">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r>
        <w:rPr>
          <w:rFonts w:hint="eastAsia" w:ascii="小标宋" w:hAnsi="小标宋" w:eastAsia="小标宋" w:cs="小标宋"/>
          <w:color w:val="auto"/>
          <w:sz w:val="44"/>
          <w:szCs w:val="44"/>
          <w:highlight w:val="none"/>
          <w:lang w:val="en-US" w:eastAsia="zh-CN"/>
        </w:rPr>
        <w:t>目录</w:t>
      </w:r>
    </w:p>
    <w:p w14:paraId="76C2E353">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268161E4">
      <w:pPr>
        <w:widowControl/>
        <w:shd w:val="clear"/>
        <w:overflowPunct w:val="0"/>
        <w:autoSpaceDE/>
        <w:autoSpaceDN/>
        <w:spacing w:line="560" w:lineRule="exact"/>
        <w:jc w:val="center"/>
        <w:rPr>
          <w:rFonts w:hint="eastAsia" w:ascii="小标宋" w:hAnsi="小标宋" w:eastAsia="小标宋" w:cs="小标宋"/>
          <w:color w:val="auto"/>
          <w:sz w:val="44"/>
          <w:szCs w:val="44"/>
          <w:highlight w:val="none"/>
          <w:lang w:val="en-US" w:eastAsia="zh-CN"/>
        </w:rPr>
      </w:pPr>
    </w:p>
    <w:p w14:paraId="50566F51">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TOC \o "1-1" \h \u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_Toc11431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一、 竞赛时间</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_Toc11431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3</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32261926">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_Toc11230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pacing w:val="-6"/>
          <w:sz w:val="32"/>
          <w:szCs w:val="32"/>
          <w:highlight w:val="none"/>
          <w:lang w:val="en-US"/>
        </w:rPr>
        <w:t xml:space="preserve">二、 </w:t>
      </w:r>
      <w:r>
        <w:rPr>
          <w:rFonts w:hint="eastAsia" w:ascii="黑体" w:hAnsi="黑体" w:eastAsia="黑体" w:cs="黑体"/>
          <w:color w:val="auto"/>
          <w:sz w:val="32"/>
          <w:szCs w:val="32"/>
          <w:highlight w:val="none"/>
          <w:lang w:val="en-US"/>
        </w:rPr>
        <w:t>赛区划分</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_Toc11230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3</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4FC332A3">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_Toc31239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三、 组织机构</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_Toc31239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3</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5FFB7F0A">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_Toc1553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四、 竞赛程序</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_Toc1553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4</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22C34244">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_Toc12430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五、 参赛办法</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_Toc12430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4</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527CD2FF">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_Toc28342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 xml:space="preserve">六、 </w:t>
      </w:r>
      <w:r>
        <w:rPr>
          <w:rFonts w:hint="eastAsia" w:ascii="黑体" w:hAnsi="黑体" w:eastAsia="黑体" w:cs="黑体"/>
          <w:color w:val="auto"/>
          <w:sz w:val="32"/>
          <w:szCs w:val="32"/>
          <w:highlight w:val="none"/>
          <w:lang w:val="en-US"/>
        </w:rPr>
        <w:t>竞赛说明</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_Toc28342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6</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44118C69">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_Toc16151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七、 作品要求</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_Toc16151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11</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525DDC8F">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_Toc8792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八、 评审办法</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_Toc8792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13</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05EEBEEB">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_Toc23698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九、 评审规则</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_Toc23698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15</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0EBB351B">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_Toc7775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lang w:val="en-US"/>
        </w:rPr>
        <w:t>十、 奖项设置和奖励办法</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_Toc7775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16</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068563C1">
      <w:pPr>
        <w:pStyle w:val="7"/>
        <w:keepNext w:val="0"/>
        <w:keepLines w:val="0"/>
        <w:pageBreakBefore w:val="0"/>
        <w:shd w:val="clear"/>
        <w:tabs>
          <w:tab w:val="right" w:leader="dot" w:pos="10300"/>
        </w:tabs>
        <w:kinsoku/>
        <w:wordWrap/>
        <w:topLinePunct w:val="0"/>
        <w:bidi w:val="0"/>
        <w:adjustRightInd/>
        <w:snapToGrid/>
        <w:spacing w:line="360" w:lineRule="auto"/>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HYPERLINK \l _Toc29241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pacing w:val="-6"/>
          <w:sz w:val="32"/>
          <w:szCs w:val="32"/>
          <w:highlight w:val="none"/>
          <w:lang w:val="en-US"/>
        </w:rPr>
        <w:t xml:space="preserve">十一、 </w:t>
      </w:r>
      <w:r>
        <w:rPr>
          <w:rFonts w:hint="eastAsia" w:ascii="黑体" w:hAnsi="黑体" w:eastAsia="黑体" w:cs="黑体"/>
          <w:color w:val="auto"/>
          <w:sz w:val="32"/>
          <w:szCs w:val="32"/>
          <w:highlight w:val="none"/>
          <w:lang w:val="en-US"/>
        </w:rPr>
        <w:t>联系方式</w:t>
      </w:r>
      <w:r>
        <w:rPr>
          <w:rFonts w:hint="eastAsia" w:ascii="黑体" w:hAnsi="黑体" w:eastAsia="黑体" w:cs="黑体"/>
          <w:color w:val="auto"/>
          <w:sz w:val="32"/>
          <w:szCs w:val="32"/>
          <w:highlight w:val="none"/>
        </w:rPr>
        <w:tab/>
      </w:r>
      <w:r>
        <w:rPr>
          <w:rFonts w:hint="eastAsia" w:ascii="黑体" w:hAnsi="黑体" w:eastAsia="黑体" w:cs="黑体"/>
          <w:color w:val="auto"/>
          <w:sz w:val="32"/>
          <w:szCs w:val="32"/>
          <w:highlight w:val="none"/>
        </w:rPr>
        <w:fldChar w:fldCharType="begin"/>
      </w:r>
      <w:r>
        <w:rPr>
          <w:rFonts w:hint="eastAsia" w:ascii="黑体" w:hAnsi="黑体" w:eastAsia="黑体" w:cs="黑体"/>
          <w:color w:val="auto"/>
          <w:sz w:val="32"/>
          <w:szCs w:val="32"/>
          <w:highlight w:val="none"/>
        </w:rPr>
        <w:instrText xml:space="preserve"> PAGEREF _Toc29241 \h </w:instrText>
      </w:r>
      <w:r>
        <w:rPr>
          <w:rFonts w:hint="eastAsia" w:ascii="黑体" w:hAnsi="黑体" w:eastAsia="黑体" w:cs="黑体"/>
          <w:color w:val="auto"/>
          <w:sz w:val="32"/>
          <w:szCs w:val="32"/>
          <w:highlight w:val="none"/>
        </w:rPr>
        <w:fldChar w:fldCharType="separate"/>
      </w:r>
      <w:r>
        <w:rPr>
          <w:rFonts w:hint="eastAsia" w:ascii="黑体" w:hAnsi="黑体" w:eastAsia="黑体" w:cs="黑体"/>
          <w:color w:val="auto"/>
          <w:sz w:val="32"/>
          <w:szCs w:val="32"/>
          <w:highlight w:val="none"/>
        </w:rPr>
        <w:t>17</w:t>
      </w:r>
      <w:r>
        <w:rPr>
          <w:rFonts w:hint="eastAsia" w:ascii="黑体" w:hAnsi="黑体" w:eastAsia="黑体" w:cs="黑体"/>
          <w:color w:val="auto"/>
          <w:sz w:val="32"/>
          <w:szCs w:val="32"/>
          <w:highlight w:val="none"/>
        </w:rPr>
        <w:fldChar w:fldCharType="end"/>
      </w:r>
      <w:r>
        <w:rPr>
          <w:rFonts w:hint="eastAsia" w:ascii="黑体" w:hAnsi="黑体" w:eastAsia="黑体" w:cs="黑体"/>
          <w:color w:val="auto"/>
          <w:sz w:val="32"/>
          <w:szCs w:val="32"/>
          <w:highlight w:val="none"/>
        </w:rPr>
        <w:fldChar w:fldCharType="end"/>
      </w:r>
    </w:p>
    <w:p w14:paraId="4B16DCD7">
      <w:pPr>
        <w:keepNext w:val="0"/>
        <w:keepLines w:val="0"/>
        <w:pageBreakBefore w:val="0"/>
        <w:widowControl/>
        <w:shd w:val="clear"/>
        <w:kinsoku/>
        <w:wordWrap/>
        <w:overflowPunct w:val="0"/>
        <w:topLinePunct w:val="0"/>
        <w:autoSpaceDE/>
        <w:autoSpaceDN/>
        <w:bidi w:val="0"/>
        <w:adjustRightInd/>
        <w:snapToGrid/>
        <w:spacing w:line="360" w:lineRule="auto"/>
        <w:jc w:val="center"/>
        <w:textAlignment w:val="auto"/>
        <w:rPr>
          <w:rFonts w:hint="eastAsia" w:ascii="Times New Roman" w:hAnsi="Times New Roman" w:eastAsia="黑体" w:cs="黑体"/>
          <w:color w:val="auto"/>
          <w:sz w:val="32"/>
          <w:szCs w:val="32"/>
          <w:highlight w:val="none"/>
        </w:rPr>
        <w:sectPr>
          <w:pgSz w:w="11910" w:h="16840"/>
          <w:pgMar w:top="1540" w:right="590" w:bottom="280" w:left="1020" w:header="720" w:footer="720" w:gutter="0"/>
          <w:cols w:space="720" w:num="1"/>
        </w:sectPr>
      </w:pPr>
      <w:r>
        <w:rPr>
          <w:rFonts w:hint="eastAsia" w:ascii="黑体" w:hAnsi="黑体" w:eastAsia="黑体" w:cs="黑体"/>
          <w:color w:val="auto"/>
          <w:sz w:val="32"/>
          <w:szCs w:val="32"/>
          <w:highlight w:val="none"/>
        </w:rPr>
        <w:fldChar w:fldCharType="end"/>
      </w:r>
    </w:p>
    <w:p w14:paraId="60AD9C3B">
      <w:pPr>
        <w:pStyle w:val="2"/>
        <w:numPr>
          <w:ilvl w:val="0"/>
          <w:numId w:val="1"/>
        </w:numPr>
        <w:shd w:val="clear"/>
        <w:bidi w:val="0"/>
        <w:rPr>
          <w:color w:val="auto"/>
          <w:highlight w:val="none"/>
          <w:lang w:val="en-US"/>
        </w:rPr>
      </w:pPr>
      <w:bookmarkStart w:id="2" w:name="_bookmark0"/>
      <w:bookmarkEnd w:id="2"/>
      <w:bookmarkStart w:id="3" w:name="_bookmark2"/>
      <w:bookmarkEnd w:id="3"/>
      <w:bookmarkStart w:id="4" w:name="_Toc11431"/>
      <w:r>
        <w:rPr>
          <w:rFonts w:hint="eastAsia"/>
          <w:color w:val="auto"/>
          <w:highlight w:val="none"/>
          <w:lang w:val="en-US"/>
        </w:rPr>
        <w:t>竞赛时间</w:t>
      </w:r>
      <w:bookmarkEnd w:id="4"/>
    </w:p>
    <w:p w14:paraId="7F4F685C">
      <w:pPr>
        <w:pStyle w:val="13"/>
        <w:shd w:val="clear"/>
        <w:tabs>
          <w:tab w:val="left" w:pos="9900"/>
        </w:tabs>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开赛时间：2026年3月</w:t>
      </w:r>
    </w:p>
    <w:p w14:paraId="246384F7">
      <w:pPr>
        <w:pStyle w:val="13"/>
        <w:shd w:val="clear"/>
        <w:tabs>
          <w:tab w:val="left" w:pos="9900"/>
        </w:tabs>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报名及作品提交截止时间：2026年6月20日</w:t>
      </w:r>
    </w:p>
    <w:p w14:paraId="18F0AECE">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初赛、决赛时间：预计7月初举办初赛，8月中旬举办全国总决赛。</w:t>
      </w:r>
    </w:p>
    <w:p w14:paraId="646EDBB7">
      <w:pPr>
        <w:numPr>
          <w:ilvl w:val="0"/>
          <w:numId w:val="1"/>
        </w:numPr>
        <w:shd w:val="clear"/>
        <w:autoSpaceDE/>
        <w:autoSpaceDN/>
        <w:spacing w:line="560" w:lineRule="exact"/>
        <w:ind w:left="0" w:firstLine="640" w:firstLineChars="200"/>
        <w:jc w:val="both"/>
        <w:rPr>
          <w:rFonts w:ascii="Times New Roman" w:hAnsi="Times New Roman" w:eastAsia="黑体" w:cs="黑体"/>
          <w:color w:val="auto"/>
          <w:spacing w:val="-6"/>
          <w:sz w:val="32"/>
          <w:szCs w:val="32"/>
          <w:highlight w:val="none"/>
          <w:lang w:val="en-US"/>
        </w:rPr>
      </w:pPr>
      <w:bookmarkStart w:id="5" w:name="_Toc11230"/>
      <w:r>
        <w:rPr>
          <w:rStyle w:val="16"/>
          <w:rFonts w:hint="eastAsia"/>
          <w:color w:val="auto"/>
          <w:highlight w:val="none"/>
          <w:lang w:val="en-US"/>
        </w:rPr>
        <w:t>赛区划分</w:t>
      </w:r>
      <w:bookmarkEnd w:id="5"/>
      <w:r>
        <w:rPr>
          <w:rFonts w:hint="eastAsia" w:ascii="Times New Roman" w:hAnsi="Times New Roman" w:eastAsia="黑体" w:cs="黑体"/>
          <w:color w:val="auto"/>
          <w:spacing w:val="-6"/>
          <w:sz w:val="32"/>
          <w:szCs w:val="32"/>
          <w:highlight w:val="none"/>
          <w:lang w:val="en-US"/>
        </w:rPr>
        <w:t> </w:t>
      </w:r>
    </w:p>
    <w:p w14:paraId="0BEFF53E">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第二十一届中国研究生电子设计竞赛全国划分九大赛区：</w:t>
      </w:r>
    </w:p>
    <w:p w14:paraId="0FA0055F">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东北分赛区：黑龙江省、吉林省、辽宁省</w:t>
      </w:r>
    </w:p>
    <w:p w14:paraId="08FAC9AF">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华北分赛区：北京市、天津市、河北省、山东省、山西省、内蒙古自治区</w:t>
      </w:r>
    </w:p>
    <w:p w14:paraId="1817EC95">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西北分赛区：陕西省、甘肃省、青海省、宁夏回族自治区、新疆维吾尔自治区</w:t>
      </w:r>
    </w:p>
    <w:p w14:paraId="68DBD7D5">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华中分赛区：湖北省、湖南省、河南省、江西省</w:t>
      </w:r>
    </w:p>
    <w:p w14:paraId="54F40010">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华东分赛区：江苏省、安徽省、浙江省、福建省</w:t>
      </w:r>
    </w:p>
    <w:p w14:paraId="2FB33F0E">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上海分赛区：上海市</w:t>
      </w:r>
    </w:p>
    <w:p w14:paraId="0A86BC61">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华南分赛区：广东省、广西壮族自治区、海南省</w:t>
      </w:r>
    </w:p>
    <w:p w14:paraId="6DF582DE">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西南分赛区：四川省、重庆市、贵州省、云南省、西藏自治区</w:t>
      </w:r>
    </w:p>
    <w:p w14:paraId="7EAA703C">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港澳特别赛区：香港特别行政区、澳门特别行政区</w:t>
      </w:r>
    </w:p>
    <w:p w14:paraId="6BA0BC15">
      <w:pPr>
        <w:pStyle w:val="2"/>
        <w:numPr>
          <w:ilvl w:val="0"/>
          <w:numId w:val="1"/>
        </w:numPr>
        <w:shd w:val="clear"/>
        <w:bidi w:val="0"/>
        <w:rPr>
          <w:color w:val="auto"/>
          <w:highlight w:val="none"/>
          <w:lang w:val="en-US"/>
        </w:rPr>
      </w:pPr>
      <w:bookmarkStart w:id="6" w:name="_Toc31239"/>
      <w:r>
        <w:rPr>
          <w:rFonts w:hint="eastAsia"/>
          <w:color w:val="auto"/>
          <w:highlight w:val="none"/>
          <w:lang w:val="en-US"/>
        </w:rPr>
        <w:t>组织机构</w:t>
      </w:r>
      <w:bookmarkEnd w:id="6"/>
    </w:p>
    <w:p w14:paraId="105C6F70">
      <w:pPr>
        <w:pStyle w:val="13"/>
        <w:numPr>
          <w:ilvl w:val="0"/>
          <w:numId w:val="2"/>
        </w:numPr>
        <w:shd w:val="clear"/>
        <w:spacing w:line="560" w:lineRule="exact"/>
        <w:ind w:firstLine="616" w:firstLineChars="200"/>
        <w:rPr>
          <w:rFonts w:ascii="Times New Roman" w:hAnsi="Times New Roman" w:eastAsia="楷体" w:cs="楷体"/>
          <w:color w:val="auto"/>
          <w:spacing w:val="-6"/>
          <w:sz w:val="32"/>
          <w:szCs w:val="32"/>
          <w:highlight w:val="none"/>
          <w:lang w:val="en-US"/>
        </w:rPr>
      </w:pPr>
      <w:r>
        <w:rPr>
          <w:rFonts w:hint="eastAsia" w:ascii="Times New Roman" w:hAnsi="Times New Roman" w:eastAsia="楷体" w:cs="楷体"/>
          <w:color w:val="auto"/>
          <w:spacing w:val="-6"/>
          <w:sz w:val="32"/>
          <w:szCs w:val="32"/>
          <w:highlight w:val="none"/>
          <w:lang w:val="en-US"/>
        </w:rPr>
        <w:t>指导单位：</w:t>
      </w:r>
    </w:p>
    <w:p w14:paraId="452BCE44">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教育部学位管理与研究生教育司</w:t>
      </w:r>
    </w:p>
    <w:p w14:paraId="3C94D17B">
      <w:pPr>
        <w:pStyle w:val="13"/>
        <w:numPr>
          <w:ilvl w:val="0"/>
          <w:numId w:val="2"/>
        </w:numPr>
        <w:shd w:val="clear"/>
        <w:spacing w:line="560" w:lineRule="exact"/>
        <w:ind w:firstLine="616" w:firstLineChars="200"/>
        <w:rPr>
          <w:rFonts w:ascii="Times New Roman" w:hAnsi="Times New Roman" w:eastAsia="楷体" w:cs="楷体"/>
          <w:color w:val="auto"/>
          <w:spacing w:val="-6"/>
          <w:sz w:val="32"/>
          <w:szCs w:val="32"/>
          <w:highlight w:val="none"/>
          <w:lang w:val="en-US"/>
        </w:rPr>
      </w:pPr>
      <w:r>
        <w:rPr>
          <w:rFonts w:hint="eastAsia" w:ascii="Times New Roman" w:hAnsi="Times New Roman" w:eastAsia="楷体" w:cs="楷体"/>
          <w:color w:val="auto"/>
          <w:spacing w:val="-6"/>
          <w:sz w:val="32"/>
          <w:szCs w:val="32"/>
          <w:highlight w:val="none"/>
          <w:lang w:val="en-US"/>
        </w:rPr>
        <w:t>主办单位：</w:t>
      </w:r>
    </w:p>
    <w:p w14:paraId="3435402A">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中国学位与研究生教育学会</w:t>
      </w:r>
    </w:p>
    <w:p w14:paraId="79EB54FC">
      <w:pPr>
        <w:pStyle w:val="13"/>
        <w:shd w:val="clear"/>
        <w:spacing w:line="560" w:lineRule="exact"/>
        <w:ind w:left="0" w:firstLine="624"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中国电子学会</w:t>
      </w:r>
    </w:p>
    <w:p w14:paraId="54283D8F">
      <w:pPr>
        <w:pStyle w:val="13"/>
        <w:numPr>
          <w:ilvl w:val="0"/>
          <w:numId w:val="2"/>
        </w:numPr>
        <w:shd w:val="clear"/>
        <w:spacing w:line="560" w:lineRule="exact"/>
        <w:ind w:firstLine="616" w:firstLineChars="200"/>
        <w:rPr>
          <w:rFonts w:ascii="Times New Roman" w:hAnsi="Times New Roman" w:eastAsia="楷体" w:cs="楷体"/>
          <w:color w:val="auto"/>
          <w:spacing w:val="-6"/>
          <w:sz w:val="32"/>
          <w:szCs w:val="32"/>
          <w:highlight w:val="none"/>
          <w:lang w:val="en-US"/>
        </w:rPr>
      </w:pPr>
      <w:r>
        <w:rPr>
          <w:rFonts w:hint="eastAsia" w:ascii="Times New Roman" w:hAnsi="Times New Roman" w:eastAsia="楷体" w:cs="楷体"/>
          <w:color w:val="auto"/>
          <w:spacing w:val="-6"/>
          <w:sz w:val="32"/>
          <w:szCs w:val="32"/>
          <w:highlight w:val="none"/>
          <w:lang w:val="en-US"/>
        </w:rPr>
        <w:t>承办单位：</w:t>
      </w:r>
    </w:p>
    <w:p w14:paraId="26CE7416">
      <w:pPr>
        <w:pStyle w:val="13"/>
        <w:shd w:val="clear"/>
        <w:spacing w:line="560" w:lineRule="exact"/>
        <w:ind w:left="0" w:firstLine="640" w:firstLineChars="200"/>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_GB2312"/>
          <w:color w:val="auto"/>
          <w:sz w:val="32"/>
          <w:szCs w:val="32"/>
          <w:highlight w:val="none"/>
          <w:lang w:val="en-US"/>
        </w:rPr>
        <w:t>上海新微科技发展有限公司</w:t>
      </w:r>
    </w:p>
    <w:p w14:paraId="5948415D">
      <w:pPr>
        <w:pStyle w:val="2"/>
        <w:numPr>
          <w:ilvl w:val="0"/>
          <w:numId w:val="1"/>
        </w:numPr>
        <w:shd w:val="clear"/>
        <w:bidi w:val="0"/>
        <w:rPr>
          <w:color w:val="auto"/>
          <w:highlight w:val="none"/>
          <w:lang w:val="en-US"/>
        </w:rPr>
      </w:pPr>
      <w:bookmarkStart w:id="7" w:name="_Toc1553"/>
      <w:r>
        <w:rPr>
          <w:rFonts w:hint="eastAsia"/>
          <w:color w:val="auto"/>
          <w:highlight w:val="none"/>
          <w:lang w:val="en-US"/>
        </w:rPr>
        <w:t>竞赛程序</w:t>
      </w:r>
      <w:bookmarkEnd w:id="7"/>
    </w:p>
    <w:p w14:paraId="440070AA">
      <w:pPr>
        <w:widowControl/>
        <w:numPr>
          <w:ilvl w:val="0"/>
          <w:numId w:val="3"/>
        </w:numPr>
        <w:shd w:val="clear"/>
        <w:overflowPunct w:val="0"/>
        <w:autoSpaceDE/>
        <w:autoSpaceDN/>
        <w:spacing w:line="560" w:lineRule="exact"/>
        <w:jc w:val="both"/>
        <w:rPr>
          <w:rFonts w:ascii="Times New Roman" w:hAnsi="Times New Roman" w:eastAsia="仿宋_GB2312" w:cs="仿宋"/>
          <w:color w:val="auto"/>
          <w:spacing w:val="-4"/>
          <w:sz w:val="32"/>
          <w:szCs w:val="32"/>
          <w:highlight w:val="none"/>
          <w:lang w:val="en-US"/>
        </w:rPr>
      </w:pPr>
      <w:r>
        <w:rPr>
          <w:rFonts w:hint="eastAsia" w:ascii="Times New Roman" w:hAnsi="Times New Roman" w:eastAsia="仿宋_GB2312" w:cs="仿宋"/>
          <w:color w:val="auto"/>
          <w:spacing w:val="-4"/>
          <w:sz w:val="32"/>
          <w:szCs w:val="32"/>
          <w:highlight w:val="none"/>
          <w:lang w:val="en-US"/>
        </w:rPr>
        <w:t>中国研究生电子设计竞赛分六个阶段：竞赛筹备与通知发布、分赛区成立与竞赛宣传、参赛报名与参赛作品提交、分赛区初赛、决赛现场评审及颁奖、竞赛总结。具体参赛流程如下。</w:t>
      </w:r>
    </w:p>
    <w:p w14:paraId="5FEF0877">
      <w:pPr>
        <w:numPr>
          <w:ilvl w:val="0"/>
          <w:numId w:val="3"/>
        </w:numPr>
        <w:shd w:val="clear"/>
        <w:tabs>
          <w:tab w:val="left" w:pos="540"/>
          <w:tab w:val="left" w:pos="900"/>
        </w:tabs>
        <w:autoSpaceDE/>
        <w:autoSpaceDN/>
        <w:spacing w:line="560" w:lineRule="exact"/>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各参赛队</w:t>
      </w:r>
      <w:r>
        <w:rPr>
          <w:rFonts w:hint="eastAsia" w:ascii="Times New Roman" w:hAnsi="Times New Roman" w:eastAsia="仿宋_GB2312" w:cs="仿宋_GB2312"/>
          <w:color w:val="auto"/>
          <w:sz w:val="32"/>
          <w:szCs w:val="32"/>
          <w:highlight w:val="none"/>
          <w:lang w:val="en-US"/>
        </w:rPr>
        <w:t>应</w:t>
      </w:r>
      <w:r>
        <w:rPr>
          <w:rFonts w:hint="eastAsia" w:ascii="Times New Roman" w:hAnsi="Times New Roman" w:eastAsia="仿宋_GB2312" w:cs="仿宋_GB2312"/>
          <w:color w:val="auto"/>
          <w:sz w:val="32"/>
          <w:szCs w:val="32"/>
          <w:highlight w:val="none"/>
        </w:rPr>
        <w:t>在</w:t>
      </w:r>
      <w:r>
        <w:rPr>
          <w:rFonts w:hint="eastAsia" w:ascii="Times New Roman" w:hAnsi="Times New Roman" w:eastAsia="仿宋_GB2312" w:cs="仿宋_GB2312"/>
          <w:color w:val="auto"/>
          <w:sz w:val="32"/>
          <w:szCs w:val="32"/>
          <w:highlight w:val="none"/>
          <w:lang w:val="en-US"/>
        </w:rPr>
        <w:t>6月20日24:00</w:t>
      </w:r>
      <w:r>
        <w:rPr>
          <w:rFonts w:hint="eastAsia" w:ascii="Times New Roman" w:hAnsi="Times New Roman" w:eastAsia="仿宋_GB2312" w:cs="仿宋_GB2312"/>
          <w:color w:val="auto"/>
          <w:sz w:val="32"/>
          <w:szCs w:val="32"/>
          <w:highlight w:val="none"/>
        </w:rPr>
        <w:t>前按照参赛要求，在竞赛官方网站</w:t>
      </w:r>
      <w:r>
        <w:rPr>
          <w:rFonts w:hint="eastAsia" w:ascii="Times New Roman" w:hAnsi="Times New Roman" w:eastAsia="仿宋_GB2312" w:cs="仿宋_GB2312"/>
          <w:color w:val="auto"/>
          <w:sz w:val="32"/>
          <w:szCs w:val="32"/>
          <w:highlight w:val="none"/>
          <w:lang w:val="en-US"/>
        </w:rPr>
        <w:t>完成</w:t>
      </w:r>
      <w:r>
        <w:rPr>
          <w:rFonts w:hint="eastAsia" w:ascii="Times New Roman" w:hAnsi="Times New Roman" w:eastAsia="仿宋_GB2312" w:cs="仿宋_GB2312"/>
          <w:color w:val="auto"/>
          <w:sz w:val="32"/>
          <w:szCs w:val="32"/>
          <w:highlight w:val="none"/>
        </w:rPr>
        <w:t>注册、组队、报名</w:t>
      </w:r>
      <w:r>
        <w:rPr>
          <w:rFonts w:hint="eastAsia" w:ascii="Times New Roman" w:hAnsi="Times New Roman" w:eastAsia="仿宋_GB2312" w:cs="仿宋_GB2312"/>
          <w:color w:val="auto"/>
          <w:sz w:val="32"/>
          <w:szCs w:val="32"/>
          <w:highlight w:val="none"/>
          <w:lang w:val="en-US"/>
        </w:rPr>
        <w:t>及</w:t>
      </w:r>
      <w:r>
        <w:rPr>
          <w:rFonts w:hint="eastAsia" w:ascii="Times New Roman" w:hAnsi="Times New Roman" w:eastAsia="仿宋_GB2312" w:cs="仿宋_GB2312"/>
          <w:color w:val="auto"/>
          <w:sz w:val="32"/>
          <w:szCs w:val="32"/>
          <w:highlight w:val="none"/>
        </w:rPr>
        <w:t>作品提交。</w:t>
      </w:r>
    </w:p>
    <w:p w14:paraId="7024ADD8">
      <w:pPr>
        <w:widowControl/>
        <w:shd w:val="clear"/>
        <w:overflowPunct w:val="0"/>
        <w:autoSpaceDE/>
        <w:autoSpaceDN/>
        <w:spacing w:line="560" w:lineRule="exact"/>
        <w:ind w:firstLine="624" w:firstLineChars="200"/>
        <w:jc w:val="both"/>
        <w:rPr>
          <w:rFonts w:ascii="Times New Roman" w:hAnsi="Times New Roman" w:eastAsia="仿宋_GB2312" w:cs="仿宋"/>
          <w:color w:val="auto"/>
          <w:spacing w:val="-4"/>
          <w:sz w:val="32"/>
          <w:szCs w:val="32"/>
          <w:highlight w:val="none"/>
          <w:lang w:val="en-US"/>
        </w:rPr>
      </w:pPr>
    </w:p>
    <w:p w14:paraId="4A2E37E5">
      <w:pPr>
        <w:widowControl/>
        <w:shd w:val="clear"/>
        <w:spacing w:before="57" w:after="250" w:line="560" w:lineRule="exact"/>
        <w:ind w:right="110" w:rightChars="50"/>
        <w:jc w:val="center"/>
        <w:rPr>
          <w:rFonts w:ascii="Times New Roman" w:hAnsi="Times New Roman" w:eastAsia="黑体" w:cs="黑体"/>
          <w:color w:val="auto"/>
          <w:sz w:val="32"/>
          <w:szCs w:val="32"/>
          <w:highlight w:val="none"/>
        </w:rPr>
      </w:pPr>
      <w:r>
        <w:rPr>
          <w:rFonts w:ascii="Times New Roman" w:hAnsi="Times New Roman"/>
          <w:color w:val="auto"/>
          <w:highlight w:val="none"/>
        </w:rPr>
        <w:drawing>
          <wp:anchor distT="0" distB="0" distL="114300" distR="114300" simplePos="0" relativeHeight="251659264" behindDoc="0" locked="0" layoutInCell="1" allowOverlap="1">
            <wp:simplePos x="0" y="0"/>
            <wp:positionH relativeFrom="column">
              <wp:posOffset>810260</wp:posOffset>
            </wp:positionH>
            <wp:positionV relativeFrom="paragraph">
              <wp:posOffset>146050</wp:posOffset>
            </wp:positionV>
            <wp:extent cx="3732530" cy="3469640"/>
            <wp:effectExtent l="0" t="0" r="1270" b="698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5"/>
                    <a:stretch>
                      <a:fillRect/>
                    </a:stretch>
                  </pic:blipFill>
                  <pic:spPr>
                    <a:xfrm>
                      <a:off x="0" y="0"/>
                      <a:ext cx="3732530" cy="3469640"/>
                    </a:xfrm>
                    <a:prstGeom prst="rect">
                      <a:avLst/>
                    </a:prstGeom>
                    <a:noFill/>
                    <a:ln>
                      <a:noFill/>
                    </a:ln>
                  </pic:spPr>
                </pic:pic>
              </a:graphicData>
            </a:graphic>
          </wp:anchor>
        </w:drawing>
      </w:r>
      <w:r>
        <w:rPr>
          <w:rFonts w:hint="eastAsia" w:ascii="Times New Roman" w:hAnsi="Times New Roman" w:eastAsia="黑体" w:cs="黑体"/>
          <w:color w:val="auto"/>
          <w:sz w:val="32"/>
          <w:szCs w:val="32"/>
          <w:highlight w:val="none"/>
        </w:rPr>
        <w:t>参赛流程图</w:t>
      </w:r>
    </w:p>
    <w:p w14:paraId="63653C55">
      <w:pPr>
        <w:pStyle w:val="2"/>
        <w:numPr>
          <w:ilvl w:val="0"/>
          <w:numId w:val="1"/>
        </w:numPr>
        <w:shd w:val="clear"/>
        <w:bidi w:val="0"/>
        <w:rPr>
          <w:color w:val="auto"/>
          <w:highlight w:val="none"/>
          <w:lang w:val="en-US"/>
        </w:rPr>
      </w:pPr>
      <w:bookmarkStart w:id="8" w:name="_Toc12430"/>
      <w:r>
        <w:rPr>
          <w:rFonts w:hint="eastAsia"/>
          <w:color w:val="auto"/>
          <w:highlight w:val="none"/>
          <w:lang w:val="en-US"/>
        </w:rPr>
        <w:t>参赛办法</w:t>
      </w:r>
      <w:bookmarkEnd w:id="8"/>
    </w:p>
    <w:p w14:paraId="3DC87659">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rPr>
      </w:pPr>
      <w:bookmarkStart w:id="9" w:name="_bookmark4"/>
      <w:bookmarkEnd w:id="9"/>
      <w:r>
        <w:rPr>
          <w:rFonts w:hint="eastAsia" w:ascii="Times New Roman" w:hAnsi="Times New Roman" w:eastAsia="仿宋_GB2312" w:cs="仿宋_GB2312"/>
          <w:color w:val="auto"/>
          <w:sz w:val="32"/>
          <w:szCs w:val="32"/>
          <w:highlight w:val="none"/>
          <w:lang w:val="en-US"/>
        </w:rPr>
        <w:t>参赛对象为国内</w:t>
      </w:r>
      <w:r>
        <w:rPr>
          <w:rFonts w:hint="eastAsia" w:ascii="Times New Roman" w:hAnsi="Times New Roman" w:eastAsia="仿宋_GB2312" w:cs="仿宋_GB2312"/>
          <w:color w:val="auto"/>
          <w:sz w:val="32"/>
          <w:szCs w:val="32"/>
          <w:highlight w:val="none"/>
        </w:rPr>
        <w:t>具有正式研究生学籍</w:t>
      </w:r>
      <w:r>
        <w:rPr>
          <w:rFonts w:hint="eastAsia" w:ascii="Times New Roman" w:hAnsi="Times New Roman" w:eastAsia="仿宋_GB2312" w:cs="仿宋_GB2312"/>
          <w:color w:val="auto"/>
          <w:sz w:val="32"/>
          <w:szCs w:val="32"/>
          <w:highlight w:val="none"/>
          <w:lang w:val="en-US"/>
        </w:rPr>
        <w:t>的在读研究生</w:t>
      </w:r>
      <w:r>
        <w:rPr>
          <w:rFonts w:hint="eastAsia" w:ascii="Times New Roman" w:hAnsi="Times New Roman" w:eastAsia="仿宋_GB2312" w:cs="仿宋_GB2312"/>
          <w:color w:val="auto"/>
          <w:sz w:val="32"/>
          <w:szCs w:val="32"/>
          <w:highlight w:val="none"/>
          <w:lang w:val="en-US" w:eastAsia="zh-CN"/>
        </w:rPr>
        <w:t>或</w:t>
      </w:r>
      <w:r>
        <w:rPr>
          <w:rFonts w:hint="eastAsia" w:ascii="Times New Roman" w:hAnsi="Times New Roman" w:eastAsia="仿宋_GB2312" w:cs="仿宋_GB2312"/>
          <w:color w:val="auto"/>
          <w:sz w:val="32"/>
          <w:szCs w:val="32"/>
          <w:highlight w:val="none"/>
        </w:rPr>
        <w:t>已确认录取资格</w:t>
      </w:r>
      <w:r>
        <w:rPr>
          <w:rFonts w:hint="eastAsia" w:ascii="Times New Roman" w:hAnsi="Times New Roman" w:eastAsia="仿宋_GB2312" w:cs="仿宋_GB2312"/>
          <w:color w:val="auto"/>
          <w:sz w:val="32"/>
          <w:szCs w:val="32"/>
          <w:highlight w:val="none"/>
          <w:lang w:val="en-US"/>
        </w:rPr>
        <w:t>的大四本科生。</w:t>
      </w:r>
    </w:p>
    <w:p w14:paraId="4E711CA2">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有特殊情况的研究生培养单位，参赛队中最多允许有一名是本科生，但必须事先向竞赛组委会申请并经过批准，</w:t>
      </w:r>
      <w:r>
        <w:rPr>
          <w:rFonts w:hint="eastAsia" w:ascii="Times New Roman" w:hAnsi="Times New Roman" w:eastAsia="仿宋_GB2312" w:cs="仿宋_GB2312"/>
          <w:color w:val="auto"/>
          <w:sz w:val="32"/>
          <w:szCs w:val="32"/>
          <w:highlight w:val="none"/>
          <w:lang w:val="en-US"/>
        </w:rPr>
        <w:t>本科生参赛申请详见官网附件下载专区</w:t>
      </w:r>
      <w:r>
        <w:rPr>
          <w:rFonts w:hint="eastAsia" w:ascii="Times New Roman" w:hAnsi="Times New Roman" w:eastAsia="仿宋_GB2312" w:cs="仿宋_GB2312"/>
          <w:color w:val="auto"/>
          <w:sz w:val="32"/>
          <w:szCs w:val="32"/>
          <w:highlight w:val="none"/>
        </w:rPr>
        <w:t>。</w:t>
      </w:r>
    </w:p>
    <w:p w14:paraId="646446B2">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以参赛队为基本报名单位，不接受个人形式报名。</w:t>
      </w:r>
    </w:p>
    <w:p w14:paraId="75F8FE51">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参赛团队成员须</w:t>
      </w:r>
      <w:r>
        <w:rPr>
          <w:rFonts w:hint="eastAsia" w:ascii="Times New Roman" w:hAnsi="Times New Roman" w:eastAsia="仿宋_GB2312" w:cs="仿宋_GB2312"/>
          <w:color w:val="auto"/>
          <w:sz w:val="32"/>
          <w:szCs w:val="32"/>
          <w:highlight w:val="none"/>
          <w:lang w:val="en-US" w:eastAsia="zh-CN"/>
        </w:rPr>
        <w:t>为</w:t>
      </w:r>
      <w:r>
        <w:rPr>
          <w:rFonts w:hint="eastAsia" w:ascii="Times New Roman" w:hAnsi="Times New Roman" w:eastAsia="仿宋_GB2312" w:cs="仿宋_GB2312"/>
          <w:color w:val="auto"/>
          <w:sz w:val="32"/>
          <w:szCs w:val="32"/>
          <w:highlight w:val="none"/>
          <w:lang w:val="en-US"/>
        </w:rPr>
        <w:t>参赛作品有实质贡献的个体，不允许成员挂名。如发现挂名现象，组委会将永久取消挂名参赛者参赛资格，并向各参赛单位通报，请各位参赛者相互监督。</w:t>
      </w:r>
    </w:p>
    <w:p w14:paraId="6C415997">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竞赛分为技术竞赛和商业计划书专项赛两大部分，两部分竞赛相互独立，组队、报名、评审、奖励工作均分开进行，互不影响。</w:t>
      </w:r>
      <w:r>
        <w:rPr>
          <w:rFonts w:hint="eastAsia" w:ascii="Times New Roman" w:hAnsi="Times New Roman" w:eastAsia="仿宋_GB2312" w:cs="仿宋"/>
          <w:color w:val="auto"/>
          <w:spacing w:val="-4"/>
          <w:kern w:val="2"/>
          <w:sz w:val="32"/>
          <w:szCs w:val="32"/>
          <w:highlight w:val="none"/>
          <w:shd w:val="clear" w:color="auto"/>
        </w:rPr>
        <w:t>技术类竞赛参赛说明详见</w:t>
      </w:r>
      <w:r>
        <w:rPr>
          <w:rFonts w:hint="eastAsia" w:ascii="Times New Roman" w:hAnsi="Times New Roman" w:eastAsia="黑体" w:cs="黑体"/>
          <w:color w:val="auto"/>
          <w:spacing w:val="-4"/>
          <w:kern w:val="2"/>
          <w:sz w:val="32"/>
          <w:szCs w:val="32"/>
          <w:highlight w:val="none"/>
          <w:shd w:val="clear" w:color="auto"/>
        </w:rPr>
        <w:t>附件一</w:t>
      </w:r>
      <w:r>
        <w:rPr>
          <w:rFonts w:hint="eastAsia" w:ascii="Times New Roman" w:hAnsi="Times New Roman" w:eastAsia="仿宋_GB2312" w:cs="仿宋"/>
          <w:color w:val="auto"/>
          <w:spacing w:val="-4"/>
          <w:kern w:val="2"/>
          <w:sz w:val="32"/>
          <w:szCs w:val="32"/>
          <w:highlight w:val="none"/>
          <w:shd w:val="clear" w:color="auto"/>
        </w:rPr>
        <w:t>。</w:t>
      </w:r>
    </w:p>
    <w:p w14:paraId="2216F2EA">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val="en-US"/>
        </w:rPr>
        <w:t>一支参赛队伍</w:t>
      </w:r>
      <w:r>
        <w:rPr>
          <w:rFonts w:hint="eastAsia" w:ascii="Times New Roman" w:hAnsi="Times New Roman" w:eastAsia="仿宋_GB2312" w:cs="仿宋_GB2312"/>
          <w:color w:val="auto"/>
          <w:sz w:val="32"/>
          <w:szCs w:val="32"/>
          <w:highlight w:val="none"/>
        </w:rPr>
        <w:t>中，指导老师一名或两名，队长一名，队员</w:t>
      </w:r>
      <w:r>
        <w:rPr>
          <w:rFonts w:hint="eastAsia" w:ascii="Times New Roman" w:hAnsi="Times New Roman" w:eastAsia="仿宋_GB2312" w:cs="仿宋_GB2312"/>
          <w:color w:val="auto"/>
          <w:sz w:val="32"/>
          <w:szCs w:val="32"/>
          <w:highlight w:val="none"/>
          <w:lang w:eastAsia="zh-CN"/>
        </w:rPr>
        <w:t>两名</w:t>
      </w:r>
      <w:r>
        <w:rPr>
          <w:rFonts w:hint="eastAsia" w:ascii="Times New Roman" w:hAnsi="Times New Roman" w:eastAsia="仿宋_GB2312" w:cs="仿宋_GB2312"/>
          <w:color w:val="auto"/>
          <w:sz w:val="32"/>
          <w:szCs w:val="32"/>
          <w:highlight w:val="none"/>
        </w:rPr>
        <w:t>，每位指导老师至多指导两支参赛队，每位参赛队员只能加入一支参赛队。</w:t>
      </w:r>
    </w:p>
    <w:p w14:paraId="6571B4A0">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组队时，由队长确认指导老师顺序和队员顺序，此顺序依据参赛贡献大小确定。获奖证书将严格按照组队顺序制作，不再更改。</w:t>
      </w:r>
    </w:p>
    <w:p w14:paraId="562B521D">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跨校组队时，获奖证书</w:t>
      </w:r>
      <w:r>
        <w:rPr>
          <w:rFonts w:hint="eastAsia" w:ascii="Times New Roman" w:hAnsi="Times New Roman" w:eastAsia="仿宋_GB2312" w:cs="仿宋_GB2312"/>
          <w:color w:val="auto"/>
          <w:sz w:val="32"/>
          <w:szCs w:val="32"/>
          <w:highlight w:val="none"/>
          <w:lang w:val="en-US"/>
        </w:rPr>
        <w:t>单位</w:t>
      </w:r>
      <w:r>
        <w:rPr>
          <w:rFonts w:hint="eastAsia" w:ascii="Times New Roman" w:hAnsi="Times New Roman" w:eastAsia="仿宋_GB2312" w:cs="仿宋_GB2312"/>
          <w:color w:val="auto"/>
          <w:sz w:val="32"/>
          <w:szCs w:val="32"/>
          <w:highlight w:val="none"/>
        </w:rPr>
        <w:t>默认</w:t>
      </w:r>
      <w:r>
        <w:rPr>
          <w:rFonts w:hint="eastAsia" w:ascii="Times New Roman" w:hAnsi="Times New Roman" w:eastAsia="仿宋_GB2312" w:cs="仿宋_GB2312"/>
          <w:color w:val="auto"/>
          <w:sz w:val="32"/>
          <w:szCs w:val="32"/>
          <w:highlight w:val="none"/>
          <w:lang w:val="en-US"/>
        </w:rPr>
        <w:t>以</w:t>
      </w:r>
      <w:r>
        <w:rPr>
          <w:rFonts w:hint="eastAsia" w:ascii="Times New Roman" w:hAnsi="Times New Roman" w:eastAsia="仿宋_GB2312" w:cs="仿宋_GB2312"/>
          <w:color w:val="auto"/>
          <w:sz w:val="32"/>
          <w:szCs w:val="32"/>
          <w:highlight w:val="none"/>
        </w:rPr>
        <w:t>队长所在单位</w:t>
      </w:r>
      <w:r>
        <w:rPr>
          <w:rFonts w:hint="eastAsia" w:ascii="Times New Roman" w:hAnsi="Times New Roman" w:eastAsia="仿宋_GB2312" w:cs="仿宋_GB2312"/>
          <w:color w:val="auto"/>
          <w:sz w:val="32"/>
          <w:szCs w:val="32"/>
          <w:highlight w:val="none"/>
          <w:lang w:val="en-US"/>
        </w:rPr>
        <w:t>为准</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rPr>
        <w:t>若</w:t>
      </w:r>
      <w:r>
        <w:rPr>
          <w:rFonts w:ascii="Times New Roman" w:hAnsi="Times New Roman" w:eastAsia="仿宋_GB2312" w:cs="仿宋_GB2312"/>
          <w:color w:val="auto"/>
          <w:sz w:val="32"/>
          <w:szCs w:val="32"/>
          <w:highlight w:val="none"/>
        </w:rPr>
        <w:t>添加</w:t>
      </w:r>
      <w:r>
        <w:rPr>
          <w:rFonts w:hint="eastAsia" w:ascii="Times New Roman" w:hAnsi="Times New Roman" w:eastAsia="仿宋_GB2312" w:cs="仿宋_GB2312"/>
          <w:color w:val="auto"/>
          <w:sz w:val="32"/>
          <w:szCs w:val="32"/>
          <w:highlight w:val="none"/>
          <w:lang w:val="en-US"/>
        </w:rPr>
        <w:t>第二完成</w:t>
      </w:r>
      <w:r>
        <w:rPr>
          <w:rFonts w:ascii="Times New Roman" w:hAnsi="Times New Roman" w:eastAsia="仿宋_GB2312" w:cs="仿宋_GB2312"/>
          <w:color w:val="auto"/>
          <w:sz w:val="32"/>
          <w:szCs w:val="32"/>
          <w:highlight w:val="none"/>
        </w:rPr>
        <w:t>单位，</w:t>
      </w:r>
      <w:r>
        <w:rPr>
          <w:rFonts w:hint="eastAsia" w:ascii="Times New Roman" w:hAnsi="Times New Roman" w:eastAsia="仿宋_GB2312" w:cs="仿宋_GB2312"/>
          <w:color w:val="auto"/>
          <w:sz w:val="32"/>
          <w:szCs w:val="32"/>
          <w:highlight w:val="none"/>
          <w:lang w:val="en-US"/>
        </w:rPr>
        <w:t>应</w:t>
      </w:r>
      <w:r>
        <w:rPr>
          <w:rFonts w:ascii="Times New Roman" w:hAnsi="Times New Roman" w:eastAsia="仿宋_GB2312" w:cs="仿宋_GB2312"/>
          <w:color w:val="auto"/>
          <w:sz w:val="32"/>
          <w:szCs w:val="32"/>
          <w:highlight w:val="none"/>
        </w:rPr>
        <w:t>确保</w:t>
      </w:r>
      <w:r>
        <w:rPr>
          <w:rFonts w:hint="eastAsia" w:ascii="Times New Roman" w:hAnsi="Times New Roman" w:eastAsia="仿宋_GB2312" w:cs="仿宋_GB2312"/>
          <w:color w:val="auto"/>
          <w:sz w:val="32"/>
          <w:szCs w:val="32"/>
          <w:highlight w:val="none"/>
          <w:lang w:val="en-US"/>
        </w:rPr>
        <w:t>该</w:t>
      </w:r>
      <w:r>
        <w:rPr>
          <w:rFonts w:ascii="Times New Roman" w:hAnsi="Times New Roman" w:eastAsia="仿宋_GB2312" w:cs="仿宋_GB2312"/>
          <w:color w:val="auto"/>
          <w:sz w:val="32"/>
          <w:szCs w:val="32"/>
          <w:highlight w:val="none"/>
        </w:rPr>
        <w:t>单位</w:t>
      </w:r>
      <w:r>
        <w:rPr>
          <w:rFonts w:hint="eastAsia" w:ascii="Times New Roman" w:hAnsi="Times New Roman" w:eastAsia="仿宋_GB2312" w:cs="仿宋_GB2312"/>
          <w:color w:val="auto"/>
          <w:sz w:val="32"/>
          <w:szCs w:val="32"/>
          <w:highlight w:val="none"/>
          <w:lang w:val="en-US"/>
        </w:rPr>
        <w:t>至少有一</w:t>
      </w:r>
      <w:r>
        <w:rPr>
          <w:rFonts w:ascii="Times New Roman" w:hAnsi="Times New Roman" w:eastAsia="仿宋_GB2312" w:cs="仿宋_GB2312"/>
          <w:color w:val="auto"/>
          <w:sz w:val="32"/>
          <w:szCs w:val="32"/>
          <w:highlight w:val="none"/>
        </w:rPr>
        <w:t>名指导教师和</w:t>
      </w:r>
      <w:r>
        <w:rPr>
          <w:rFonts w:hint="eastAsia" w:ascii="Times New Roman" w:hAnsi="Times New Roman" w:eastAsia="仿宋_GB2312" w:cs="仿宋_GB2312"/>
          <w:color w:val="auto"/>
          <w:sz w:val="32"/>
          <w:szCs w:val="32"/>
          <w:highlight w:val="none"/>
          <w:lang w:val="en-US"/>
        </w:rPr>
        <w:t>一</w:t>
      </w:r>
      <w:r>
        <w:rPr>
          <w:rFonts w:ascii="Times New Roman" w:hAnsi="Times New Roman" w:eastAsia="仿宋_GB2312" w:cs="仿宋_GB2312"/>
          <w:color w:val="auto"/>
          <w:sz w:val="32"/>
          <w:szCs w:val="32"/>
          <w:highlight w:val="none"/>
        </w:rPr>
        <w:t>名学生</w:t>
      </w:r>
      <w:r>
        <w:rPr>
          <w:rFonts w:hint="eastAsia" w:ascii="Times New Roman" w:hAnsi="Times New Roman" w:eastAsia="仿宋_GB2312" w:cs="仿宋_GB2312"/>
          <w:color w:val="auto"/>
          <w:sz w:val="32"/>
          <w:szCs w:val="32"/>
          <w:highlight w:val="none"/>
          <w:lang w:val="en-US"/>
        </w:rPr>
        <w:t>参赛，</w:t>
      </w:r>
      <w:r>
        <w:rPr>
          <w:rFonts w:ascii="Times New Roman" w:hAnsi="Times New Roman" w:eastAsia="仿宋_GB2312" w:cs="仿宋_GB2312"/>
          <w:color w:val="auto"/>
          <w:sz w:val="32"/>
          <w:szCs w:val="32"/>
          <w:highlight w:val="none"/>
        </w:rPr>
        <w:t>并于报名</w:t>
      </w:r>
      <w:r>
        <w:rPr>
          <w:rFonts w:hint="eastAsia" w:ascii="Times New Roman" w:hAnsi="Times New Roman" w:eastAsia="仿宋_GB2312" w:cs="仿宋_GB2312"/>
          <w:color w:val="auto"/>
          <w:sz w:val="32"/>
          <w:szCs w:val="32"/>
          <w:highlight w:val="none"/>
          <w:lang w:val="en-US"/>
        </w:rPr>
        <w:t>期间向组委会邮箱</w:t>
      </w:r>
      <w:r>
        <w:rPr>
          <w:rFonts w:ascii="Times New Roman" w:hAnsi="Times New Roman" w:eastAsia="仿宋_GB2312" w:cs="仿宋_GB2312"/>
          <w:color w:val="auto"/>
          <w:sz w:val="32"/>
          <w:szCs w:val="32"/>
          <w:highlight w:val="none"/>
        </w:rPr>
        <w:t>提交书面申请，经审核后按参赛学生所属学校顺序</w:t>
      </w:r>
      <w:r>
        <w:rPr>
          <w:rFonts w:hint="eastAsia" w:ascii="Times New Roman" w:hAnsi="Times New Roman" w:eastAsia="仿宋_GB2312" w:cs="仿宋_GB2312"/>
          <w:color w:val="auto"/>
          <w:sz w:val="32"/>
          <w:szCs w:val="32"/>
          <w:highlight w:val="none"/>
          <w:lang w:val="en-US"/>
        </w:rPr>
        <w:t>予以</w:t>
      </w:r>
      <w:r>
        <w:rPr>
          <w:rFonts w:ascii="Times New Roman" w:hAnsi="Times New Roman" w:eastAsia="仿宋_GB2312" w:cs="仿宋_GB2312"/>
          <w:color w:val="auto"/>
          <w:sz w:val="32"/>
          <w:szCs w:val="32"/>
          <w:highlight w:val="none"/>
        </w:rPr>
        <w:t>标注</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val="en-US"/>
        </w:rPr>
        <w:t>‌</w:t>
      </w:r>
    </w:p>
    <w:p w14:paraId="56FA0344">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参赛</w:t>
      </w:r>
      <w:r>
        <w:rPr>
          <w:rFonts w:hint="eastAsia" w:ascii="Times New Roman" w:hAnsi="Times New Roman" w:eastAsia="仿宋_GB2312" w:cs="仿宋_GB2312"/>
          <w:color w:val="auto"/>
          <w:sz w:val="32"/>
          <w:szCs w:val="32"/>
          <w:highlight w:val="none"/>
          <w:lang w:val="en-US"/>
        </w:rPr>
        <w:t>队伍</w:t>
      </w:r>
      <w:r>
        <w:rPr>
          <w:rFonts w:hint="eastAsia" w:ascii="Times New Roman" w:hAnsi="Times New Roman" w:eastAsia="仿宋_GB2312" w:cs="仿宋_GB2312"/>
          <w:color w:val="auto"/>
          <w:sz w:val="32"/>
          <w:szCs w:val="32"/>
          <w:highlight w:val="none"/>
        </w:rPr>
        <w:t>经过所在参赛单位同意后，在竞赛官网上完成注册、组队报名、缴费及作品提交。</w:t>
      </w:r>
    </w:p>
    <w:p w14:paraId="505C34A6">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参赛单位设立研究生电子设计竞赛工作小组或联络人，在竞赛官网注册参赛单位管理员账户，负责本参赛单位参赛团队的资格审核和信息管理。</w:t>
      </w:r>
    </w:p>
    <w:p w14:paraId="7C5CA230">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商业计划书专项赛报名费由主办方及秘书处单位中国电子学会收取并开具电子发票。报名费原则上每支参赛团队500元人民币。</w:t>
      </w:r>
    </w:p>
    <w:p w14:paraId="08C6FC22">
      <w:pPr>
        <w:numPr>
          <w:ilvl w:val="0"/>
          <w:numId w:val="4"/>
        </w:numPr>
        <w:shd w:val="clear"/>
        <w:tabs>
          <w:tab w:val="left" w:pos="540"/>
          <w:tab w:val="left" w:pos="900"/>
        </w:tabs>
        <w:autoSpaceDE/>
        <w:autoSpaceDN/>
        <w:spacing w:line="560" w:lineRule="exact"/>
        <w:ind w:firstLine="640" w:firstLineChars="200"/>
        <w:jc w:val="both"/>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报名截止日期前，竞赛网站上填写的参赛队员、队员顺序及参赛作品信息均可变更，报名截止日期后，参赛队员及参赛作品不可变更，进入决赛后，参赛队可改进、完善其参赛作品，但不可更换参赛作品内容和参赛队员。如因特殊情况必须变更，参赛队需向组委会提交变更申请，经组委会同意后，方可变更。擅自变更参赛信息的参赛队，组委会有权取消其参赛资格。</w:t>
      </w:r>
    </w:p>
    <w:p w14:paraId="54C35F05">
      <w:pPr>
        <w:pStyle w:val="2"/>
        <w:numPr>
          <w:ilvl w:val="0"/>
          <w:numId w:val="1"/>
        </w:numPr>
        <w:shd w:val="clear"/>
        <w:bidi w:val="0"/>
        <w:rPr>
          <w:color w:val="auto"/>
          <w:highlight w:val="none"/>
        </w:rPr>
      </w:pPr>
      <w:bookmarkStart w:id="10" w:name="_Toc28342"/>
      <w:r>
        <w:rPr>
          <w:rFonts w:hint="eastAsia"/>
          <w:color w:val="auto"/>
          <w:highlight w:val="none"/>
          <w:lang w:val="en-US"/>
        </w:rPr>
        <w:t>竞赛说明</w:t>
      </w:r>
      <w:bookmarkEnd w:id="10"/>
      <w:bookmarkStart w:id="11" w:name="_bookmark5"/>
      <w:bookmarkEnd w:id="11"/>
    </w:p>
    <w:p w14:paraId="66212545">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商业计划书专项赛中涉及的作品应是已实现功能的样机或系统，并向组委会提交的参赛文件为作品演示视频、作品介绍 PPT 和商业计划书的电子文件。</w:t>
      </w:r>
    </w:p>
    <w:p w14:paraId="209FBBD5">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组委会不限制参赛作品所使用工具的品牌和型号，由参赛队自行选择，所使用软硬件工具的品牌不影响竞赛成绩。</w:t>
      </w:r>
    </w:p>
    <w:p w14:paraId="2AF5A635">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参赛队拥有其参赛作品的知识产权，不可抄袭他人作品或侵占他人知识产权。如有违规，组委会有权取消其参赛资格。</w:t>
      </w:r>
    </w:p>
    <w:p w14:paraId="2CF61233">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商业计划书专项赛分为产业转化赛道与前沿孵化赛道。</w:t>
      </w:r>
    </w:p>
    <w:p w14:paraId="77250B49">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产业转化赛道面向当前产业实际需求，要求参赛项目已形成可展示的样机、系统或整体解决方案，具备较清晰的应用场景、用户对象和近期转化潜力。鼓励多学科交叉融合与人工智能、电子信息技术的双向赋能。</w:t>
      </w:r>
    </w:p>
    <w:p w14:paraId="632EEAC6">
      <w:pPr>
        <w:widowControl/>
        <w:numPr>
          <w:ilvl w:val="0"/>
          <w:numId w:val="5"/>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前沿孵化赛道面向“十五五”重点未来产业方向，要求参赛项目已完成核心技术验证、关键模块样机或原理系统展示，具有较强技术创新性和中长期孵化、投资潜力，包括以下方向：</w:t>
      </w:r>
    </w:p>
    <w:p w14:paraId="19F1A67E">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集成电路与微纳光电技术赛道</w:t>
      </w:r>
    </w:p>
    <w:p w14:paraId="668CED36">
      <w:pPr>
        <w:widowControl/>
        <w:numPr>
          <w:ilvl w:val="0"/>
          <w:numId w:val="7"/>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定义：面向芯片、器件、材料与微纳系统的底层硬科技创新赛道。</w:t>
      </w:r>
    </w:p>
    <w:p w14:paraId="62A6D341">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集成电路、先进制程、关键装备与材料、宽禁带/超宽禁带半导体、存算一体、三维集成、光电融合等方向，主要面向电子、微电子、集成电路、光学工程、材料、仪器等专业团队，适合承接具有底层技术突破和核心器件创新特征的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758E3D94">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集成电路设计与EDA相关技术</w:t>
      </w:r>
    </w:p>
    <w:p w14:paraId="6CDD56D1">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高性能处理器、存储器及专用芯片</w:t>
      </w:r>
    </w:p>
    <w:p w14:paraId="02587A1A">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车规芯片、边缘智能芯片</w:t>
      </w:r>
    </w:p>
    <w:p w14:paraId="1750F9C2">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宽禁带/超宽禁带半导体器件</w:t>
      </w:r>
    </w:p>
    <w:p w14:paraId="188A57CE">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光子芯片、硅光、光电融合</w:t>
      </w:r>
    </w:p>
    <w:p w14:paraId="0E573987">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微纳传感器、MEMS</w:t>
      </w:r>
    </w:p>
    <w:p w14:paraId="0A409CDE">
      <w:pPr>
        <w:widowControl/>
        <w:numPr>
          <w:ilvl w:val="0"/>
          <w:numId w:val="9"/>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 xml:space="preserve">光电子器件及高端通用元器件  </w:t>
      </w:r>
    </w:p>
    <w:p w14:paraId="6BCEAF36">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具身智能与机器人系统赛道</w:t>
      </w:r>
    </w:p>
    <w:p w14:paraId="73249E27">
      <w:pPr>
        <w:widowControl/>
        <w:numPr>
          <w:ilvl w:val="0"/>
          <w:numId w:val="10"/>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定义：面向智能体进入物理世界的本体、感知、控制与系统协同创新赛道。</w:t>
      </w:r>
    </w:p>
    <w:p w14:paraId="5ED441F7">
      <w:pPr>
        <w:widowControl/>
        <w:numPr>
          <w:ilvl w:val="0"/>
          <w:numId w:val="10"/>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具身智能、机器人、本体与核心零部件、大小脑一体化模型与算法等方向，主要面向机械、控制、自动化、电子、计算机等专业团队，适合承接机器人本体、智能控制、多模态感知、自主导航和人机协同相关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0FF38E0E">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人形机器人</w:t>
      </w:r>
    </w:p>
    <w:p w14:paraId="0D9D6317">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工业机器人、协作机器人</w:t>
      </w:r>
    </w:p>
    <w:p w14:paraId="69EF1F14">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服务机器人、特种机器人</w:t>
      </w:r>
    </w:p>
    <w:p w14:paraId="1588252D">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多模态感知与自主导航</w:t>
      </w:r>
    </w:p>
    <w:p w14:paraId="2306D9D6">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机器人控制系统与执行机构</w:t>
      </w:r>
    </w:p>
    <w:p w14:paraId="58DF99D8">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具身智能模型与算法</w:t>
      </w:r>
    </w:p>
    <w:p w14:paraId="32A7E964">
      <w:pPr>
        <w:widowControl/>
        <w:numPr>
          <w:ilvl w:val="0"/>
          <w:numId w:val="11"/>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灵巧手、伺服驱动、核心零部件</w:t>
      </w:r>
    </w:p>
    <w:p w14:paraId="6EB16DAD">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脑机接口与未来医疗装备赛道</w:t>
      </w:r>
    </w:p>
    <w:p w14:paraId="27C98993">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定义：面向脑科学、医疗电子和智能诊疗装备的前沿交叉创新赛道。</w:t>
      </w:r>
    </w:p>
    <w:p w14:paraId="79AF8C76">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脑机接口、高端医疗器械、生命科学与生物技术等方向，整合原有BTIT与医工交叉相关内容，主要面向生物医学工程、医学、电子、材料、算法、机械等专业团队，适合承接脑机接口、智能诊疗、康复装备、医学影像与医疗电子系统等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5EAC96AF">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脑机接口</w:t>
      </w:r>
    </w:p>
    <w:p w14:paraId="1E1D8F51">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神经信号采集、解码与专用芯片</w:t>
      </w:r>
    </w:p>
    <w:p w14:paraId="6F0FE4CC">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生物电子接口与可植入设备</w:t>
      </w:r>
    </w:p>
    <w:p w14:paraId="4FC96629">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智能诊疗设备</w:t>
      </w:r>
    </w:p>
    <w:p w14:paraId="7C611D11">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医学影像装备</w:t>
      </w:r>
    </w:p>
    <w:p w14:paraId="34A4FDC7">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康复治疗设备与神经刺激设备</w:t>
      </w:r>
    </w:p>
    <w:p w14:paraId="38A884A6">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智能手术机器人</w:t>
      </w:r>
    </w:p>
    <w:p w14:paraId="7226BE9F">
      <w:pPr>
        <w:widowControl/>
        <w:numPr>
          <w:ilvl w:val="0"/>
          <w:numId w:val="1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bidi="zh-CN"/>
        </w:rPr>
      </w:pPr>
      <w:r>
        <w:rPr>
          <w:rFonts w:hint="eastAsia" w:ascii="Times New Roman" w:hAnsi="Times New Roman" w:eastAsia="仿宋_GB2312" w:cs="仿宋_GB2312"/>
          <w:color w:val="auto"/>
          <w:kern w:val="2"/>
          <w:sz w:val="32"/>
          <w:szCs w:val="32"/>
          <w:highlight w:val="none"/>
          <w:lang w:val="en-US"/>
        </w:rPr>
        <w:t>可穿戴医疗电子与健康监测系统</w:t>
      </w:r>
    </w:p>
    <w:p w14:paraId="536BC8A8">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商业航天与空天信息赛道</w:t>
      </w:r>
    </w:p>
    <w:p w14:paraId="68FDA846">
      <w:pPr>
        <w:widowControl/>
        <w:numPr>
          <w:ilvl w:val="0"/>
          <w:numId w:val="13"/>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定义：面向商业航天、卫星系统与空天融合服务体系的战略前沿赛道。</w:t>
      </w:r>
    </w:p>
    <w:p w14:paraId="77AC9752">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商业航天、卫星互联网、北斗系统创新应用、空天地一体综合服务体系等方向，主要面向航空航天、通信、导航、遥感、测控、电子信息等专业团队，适合承接卫星平台、星载计算、卫星通信、导航遥感、空天信息处理及综合服务相关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7A4A1695">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商业火箭与运载平台关键技术</w:t>
      </w:r>
    </w:p>
    <w:p w14:paraId="07514C1E">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星载计算与卫星平台技术</w:t>
      </w:r>
    </w:p>
    <w:p w14:paraId="54E1C349">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卫星通信、导航、遥感</w:t>
      </w:r>
    </w:p>
    <w:p w14:paraId="740D9DAF">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卫星互联网</w:t>
      </w:r>
    </w:p>
    <w:p w14:paraId="49673E6E">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空天地一体化系统</w:t>
      </w:r>
    </w:p>
    <w:p w14:paraId="18D2E58B">
      <w:pPr>
        <w:widowControl/>
        <w:numPr>
          <w:ilvl w:val="0"/>
          <w:numId w:val="14"/>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群星协同与太空安全感知</w:t>
      </w:r>
    </w:p>
    <w:p w14:paraId="7E5E3F9D">
      <w:pPr>
        <w:widowControl/>
        <w:numPr>
          <w:ilvl w:val="0"/>
          <w:numId w:val="14"/>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空天信息处理与综合服务平台</w:t>
      </w:r>
    </w:p>
    <w:p w14:paraId="00BB690B">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低空装备与未来</w:t>
      </w:r>
      <w:r>
        <w:rPr>
          <w:rFonts w:hint="eastAsia" w:ascii="Times New Roman" w:hAnsi="Times New Roman" w:eastAsia="楷体" w:cs="楷体"/>
          <w:color w:val="auto"/>
          <w:kern w:val="2"/>
          <w:sz w:val="32"/>
          <w:szCs w:val="32"/>
          <w:highlight w:val="none"/>
          <w:lang w:val="en-US"/>
        </w:rPr>
        <w:t>载具</w:t>
      </w:r>
      <w:r>
        <w:rPr>
          <w:rFonts w:ascii="Times New Roman" w:hAnsi="Times New Roman" w:eastAsia="楷体" w:cs="楷体"/>
          <w:color w:val="auto"/>
          <w:kern w:val="2"/>
          <w:sz w:val="32"/>
          <w:szCs w:val="32"/>
          <w:highlight w:val="none"/>
          <w:lang w:val="en-US"/>
        </w:rPr>
        <w:t>电子赛道</w:t>
      </w:r>
    </w:p>
    <w:p w14:paraId="30B979FA">
      <w:pPr>
        <w:widowControl/>
        <w:numPr>
          <w:ilvl w:val="0"/>
          <w:numId w:val="15"/>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定义：面向低空经济、新型飞行器和未来载具电子系统的应用前沿赛道。</w:t>
      </w:r>
    </w:p>
    <w:p w14:paraId="044631C5">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低空经济、低空装备、国产大飞机及相关配套技术方向，主要面向载具及飞行器设计、航空宇航、控制、自动化、动力、交通运输等专业团队，适合承接新型飞行器、载具、飞行控制、航空电子、低空运行管理及安全保障相关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6A9E68F0">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大载重无人机与垂直起降航空器</w:t>
      </w:r>
    </w:p>
    <w:p w14:paraId="5A2CABFB">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智能飞行控制系统</w:t>
      </w:r>
    </w:p>
    <w:p w14:paraId="7ECEB27E">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航空电子与飞控系统</w:t>
      </w:r>
    </w:p>
    <w:p w14:paraId="5AA284B5">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电推进与混合动力系统</w:t>
      </w:r>
    </w:p>
    <w:p w14:paraId="27C9F430">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低空运行管理系统</w:t>
      </w:r>
    </w:p>
    <w:p w14:paraId="09A9A683">
      <w:pPr>
        <w:widowControl/>
        <w:numPr>
          <w:ilvl w:val="0"/>
          <w:numId w:val="16"/>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低空安全防控技术</w:t>
      </w:r>
    </w:p>
    <w:p w14:paraId="75413169">
      <w:pPr>
        <w:widowControl/>
        <w:numPr>
          <w:ilvl w:val="0"/>
          <w:numId w:val="1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bidi="zh-CN"/>
        </w:rPr>
      </w:pPr>
      <w:r>
        <w:rPr>
          <w:rFonts w:hint="eastAsia" w:ascii="Times New Roman" w:hAnsi="Times New Roman" w:eastAsia="仿宋_GB2312" w:cs="仿宋_GB2312"/>
          <w:color w:val="auto"/>
          <w:kern w:val="2"/>
          <w:sz w:val="32"/>
          <w:szCs w:val="32"/>
          <w:highlight w:val="none"/>
          <w:lang w:val="en-US"/>
        </w:rPr>
        <w:t>国产大飞机配套电子系统与关键部件</w:t>
      </w:r>
    </w:p>
    <w:p w14:paraId="61117843">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下一代通信与算力网络赛道</w:t>
      </w:r>
    </w:p>
    <w:p w14:paraId="763F8A90">
      <w:pPr>
        <w:widowControl/>
        <w:numPr>
          <w:ilvl w:val="0"/>
          <w:numId w:val="17"/>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定义：面向6G、卫星互联网、数据基础设施和全国一体化算力网的新型底座赛道。</w:t>
      </w:r>
    </w:p>
    <w:p w14:paraId="1DB9A2D6">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第六代移动通信、信息通信网络、卫星互联网、全国一体化算力网、数据基础设施等方向，主要面向通信工程、计算机、软件工程、网络空间安全、信息工程等专业团队，适合承接通信系统、网络底座、算力调度、云边端协同与数据基础设施相关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4D7C6E26">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6G关键技术与应用验证</w:t>
      </w:r>
    </w:p>
    <w:p w14:paraId="399A7F3F">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5G-A与移动物联网升级</w:t>
      </w:r>
    </w:p>
    <w:p w14:paraId="77106CC0">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卫星互联网与天地一体网络</w:t>
      </w:r>
    </w:p>
    <w:p w14:paraId="4C28EBEC">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全国一体化算力网与算力调度</w:t>
      </w:r>
    </w:p>
    <w:p w14:paraId="58EFA568">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数据基础设施</w:t>
      </w:r>
    </w:p>
    <w:p w14:paraId="7CA97D77">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云边端协同与智算平台</w:t>
      </w:r>
    </w:p>
    <w:p w14:paraId="4CAD0CB2">
      <w:pPr>
        <w:widowControl/>
        <w:numPr>
          <w:ilvl w:val="0"/>
          <w:numId w:val="18"/>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 xml:space="preserve">网络协议、通信模组、边缘节点系统  </w:t>
      </w:r>
    </w:p>
    <w:p w14:paraId="25CCD4A5">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人工智能与可信智能系统赛道</w:t>
      </w:r>
    </w:p>
    <w:p w14:paraId="3E067876">
      <w:pPr>
        <w:widowControl/>
        <w:numPr>
          <w:ilvl w:val="0"/>
          <w:numId w:val="19"/>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定义：面向模型、算法、芯软协同和行业智能体的通用智能创新赛道。</w:t>
      </w:r>
    </w:p>
    <w:p w14:paraId="7AC1DB3B">
      <w:pPr>
        <w:widowControl/>
        <w:numPr>
          <w:ilvl w:val="0"/>
          <w:numId w:val="8"/>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说明：该赛道重点对接人工智能、</w:t>
      </w:r>
      <w:r>
        <w:rPr>
          <w:rFonts w:hint="eastAsia" w:ascii="Times New Roman" w:hAnsi="Times New Roman" w:eastAsia="仿宋_GB2312" w:cs="仿宋_GB2312"/>
          <w:color w:val="auto"/>
          <w:kern w:val="2"/>
          <w:sz w:val="32"/>
          <w:szCs w:val="32"/>
          <w:highlight w:val="none"/>
          <w:lang w:val="en-US" w:eastAsia="zh-CN"/>
        </w:rPr>
        <w:t>“模芯云用”</w:t>
      </w:r>
      <w:r>
        <w:rPr>
          <w:rFonts w:hint="eastAsia" w:ascii="Times New Roman" w:hAnsi="Times New Roman" w:eastAsia="仿宋_GB2312" w:cs="仿宋_GB2312"/>
          <w:color w:val="auto"/>
          <w:kern w:val="2"/>
          <w:sz w:val="32"/>
          <w:szCs w:val="32"/>
          <w:highlight w:val="none"/>
          <w:lang w:val="en-US"/>
        </w:rPr>
        <w:t>、多模态、智能体、可信安全与数据治理等方向，主要面向人工智能、计算机、软件、数据科学等专业团队，适合承接基础模型、行业大模型、智能体系统、AI安全与可信智能相关项目。</w:t>
      </w:r>
      <w:r>
        <w:rPr>
          <w:rFonts w:hint="eastAsia" w:ascii="Times New Roman" w:hAnsi="Times New Roman" w:eastAsia="仿宋_GB2312" w:cs="仿宋_GB2312"/>
          <w:color w:val="auto"/>
          <w:kern w:val="2"/>
          <w:sz w:val="32"/>
          <w:szCs w:val="32"/>
          <w:highlight w:val="none"/>
          <w:lang w:val="en-US" w:eastAsia="zh-CN"/>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lang w:val="en-US" w:eastAsia="zh-CN"/>
        </w:rPr>
        <w:t>以下内容：</w:t>
      </w:r>
    </w:p>
    <w:p w14:paraId="7E4F7A9B">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大模型与基础模型架构</w:t>
      </w:r>
    </w:p>
    <w:p w14:paraId="4A1F7DC0">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多模态模型</w:t>
      </w:r>
    </w:p>
    <w:p w14:paraId="352808E4">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智能体与群体智能</w:t>
      </w:r>
    </w:p>
    <w:p w14:paraId="5BE9DA02">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eastAsia="zh-CN"/>
        </w:rPr>
        <w:t>“模芯云用”</w:t>
      </w:r>
      <w:r>
        <w:rPr>
          <w:rFonts w:hint="eastAsia" w:ascii="Times New Roman" w:hAnsi="Times New Roman" w:eastAsia="仿宋_GB2312" w:cs="仿宋_GB2312"/>
          <w:color w:val="auto"/>
          <w:kern w:val="2"/>
          <w:sz w:val="32"/>
          <w:szCs w:val="32"/>
          <w:highlight w:val="none"/>
          <w:lang w:val="en-US"/>
        </w:rPr>
        <w:t>协同系统</w:t>
      </w:r>
    </w:p>
    <w:p w14:paraId="355D6DFF">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可解释、可决策算法</w:t>
      </w:r>
    </w:p>
    <w:p w14:paraId="5C519F5C">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AI安全、数据治理、可信智能</w:t>
      </w:r>
    </w:p>
    <w:p w14:paraId="425B7074">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面向科研、工业、教育、治理的AI系统</w:t>
      </w:r>
    </w:p>
    <w:p w14:paraId="1A7C8F9D">
      <w:pPr>
        <w:widowControl/>
        <w:numPr>
          <w:ilvl w:val="0"/>
          <w:numId w:val="20"/>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 xml:space="preserve">数据安全  </w:t>
      </w:r>
    </w:p>
    <w:p w14:paraId="379E2E7C">
      <w:pPr>
        <w:widowControl/>
        <w:numPr>
          <w:ilvl w:val="0"/>
          <w:numId w:val="6"/>
        </w:numPr>
        <w:shd w:val="clear"/>
        <w:overflowPunct w:val="0"/>
        <w:autoSpaceDE/>
        <w:autoSpaceDN/>
        <w:spacing w:line="560" w:lineRule="exact"/>
        <w:ind w:left="0" w:firstLine="660"/>
        <w:jc w:val="both"/>
        <w:rPr>
          <w:rFonts w:ascii="Times New Roman" w:hAnsi="Times New Roman" w:eastAsia="楷体" w:cs="楷体"/>
          <w:color w:val="auto"/>
          <w:kern w:val="2"/>
          <w:sz w:val="32"/>
          <w:szCs w:val="32"/>
          <w:highlight w:val="none"/>
          <w:lang w:val="en-US"/>
        </w:rPr>
      </w:pPr>
      <w:r>
        <w:rPr>
          <w:rFonts w:ascii="Times New Roman" w:hAnsi="Times New Roman" w:eastAsia="楷体" w:cs="楷体"/>
          <w:color w:val="auto"/>
          <w:kern w:val="2"/>
          <w:sz w:val="32"/>
          <w:szCs w:val="32"/>
          <w:highlight w:val="none"/>
          <w:lang w:val="en-US"/>
        </w:rPr>
        <w:t>生物制造与绿色新型</w:t>
      </w:r>
      <w:r>
        <w:rPr>
          <w:rFonts w:hint="eastAsia" w:ascii="Times New Roman" w:hAnsi="Times New Roman" w:eastAsia="楷体" w:cs="楷体"/>
          <w:color w:val="auto"/>
          <w:kern w:val="2"/>
          <w:sz w:val="32"/>
          <w:szCs w:val="32"/>
          <w:highlight w:val="none"/>
          <w:lang w:val="en-US"/>
        </w:rPr>
        <w:t>未来</w:t>
      </w:r>
      <w:r>
        <w:rPr>
          <w:rFonts w:ascii="Times New Roman" w:hAnsi="Times New Roman" w:eastAsia="楷体" w:cs="楷体"/>
          <w:color w:val="auto"/>
          <w:kern w:val="2"/>
          <w:sz w:val="32"/>
          <w:szCs w:val="32"/>
          <w:highlight w:val="none"/>
          <w:lang w:val="en-US"/>
        </w:rPr>
        <w:t>能源赛道</w:t>
      </w:r>
    </w:p>
    <w:p w14:paraId="4A6A2A95">
      <w:pPr>
        <w:widowControl/>
        <w:numPr>
          <w:ilvl w:val="0"/>
          <w:numId w:val="21"/>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定义：面向生物制造、新型电池和绿色能源技术的未来产业赛道。</w:t>
      </w:r>
    </w:p>
    <w:p w14:paraId="65F0604E">
      <w:pPr>
        <w:widowControl/>
        <w:numPr>
          <w:ilvl w:val="0"/>
          <w:numId w:val="21"/>
        </w:numPr>
        <w:shd w:val="clear"/>
        <w:overflowPunct w:val="0"/>
        <w:autoSpaceDE/>
        <w:autoSpaceDN/>
        <w:spacing w:line="560" w:lineRule="exact"/>
        <w:ind w:left="5" w:firstLine="655"/>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说明：该赛道重点对接生物制造、新型电池、绿色氢能等未来产业和新赛道方向，主要面向材料、能源、化工、生物、控制等专业团队，适合承接新型能源系统、生物制造工艺、储能装备及相关智能系统项目。包括但不限于</w:t>
      </w:r>
      <w:r>
        <w:rPr>
          <w:rFonts w:hint="eastAsia" w:ascii="Times New Roman" w:hAnsi="Times New Roman" w:eastAsia="仿宋_GB2312" w:cs="仿宋_GB2312"/>
          <w:color w:val="auto"/>
          <w:kern w:val="2"/>
          <w:sz w:val="32"/>
          <w:szCs w:val="32"/>
          <w:highlight w:val="none"/>
          <w:lang w:val="en-US" w:eastAsia="zh-CN"/>
        </w:rPr>
        <w:t>以下内容：</w:t>
      </w:r>
    </w:p>
    <w:p w14:paraId="51AB89CB">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生物制造与智能发酵</w:t>
      </w:r>
    </w:p>
    <w:p w14:paraId="3CD21B72">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生物育种与生物信息系统</w:t>
      </w:r>
    </w:p>
    <w:p w14:paraId="6373B110">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细胞/基因治疗配套技术</w:t>
      </w:r>
    </w:p>
    <w:p w14:paraId="685CAC0B">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新型电池材料与装备</w:t>
      </w:r>
    </w:p>
    <w:p w14:paraId="46411E27">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储能系统</w:t>
      </w:r>
    </w:p>
    <w:p w14:paraId="4B2E972F">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氢能制储运技术</w:t>
      </w:r>
    </w:p>
    <w:p w14:paraId="556AB7D2">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面向电动交通工具和新型终端的能源系统</w:t>
      </w:r>
    </w:p>
    <w:p w14:paraId="72365168">
      <w:pPr>
        <w:widowControl/>
        <w:numPr>
          <w:ilvl w:val="0"/>
          <w:numId w:val="22"/>
        </w:numPr>
        <w:shd w:val="clear"/>
        <w:overflowPunct w:val="0"/>
        <w:autoSpaceDE/>
        <w:autoSpaceDN/>
        <w:spacing w:line="560" w:lineRule="exact"/>
        <w:ind w:left="0" w:firstLine="66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其他未来新型能源</w:t>
      </w:r>
    </w:p>
    <w:p w14:paraId="28DDF559">
      <w:pPr>
        <w:pStyle w:val="2"/>
        <w:numPr>
          <w:ilvl w:val="0"/>
          <w:numId w:val="1"/>
        </w:numPr>
        <w:shd w:val="clear"/>
        <w:bidi w:val="0"/>
        <w:rPr>
          <w:color w:val="auto"/>
          <w:highlight w:val="none"/>
          <w:lang w:val="en-US"/>
        </w:rPr>
      </w:pPr>
      <w:bookmarkStart w:id="12" w:name="_Toc16151"/>
      <w:r>
        <w:rPr>
          <w:rFonts w:hint="eastAsia"/>
          <w:color w:val="auto"/>
          <w:highlight w:val="none"/>
          <w:lang w:val="en-US"/>
        </w:rPr>
        <w:t>作品要求</w:t>
      </w:r>
      <w:bookmarkEnd w:id="12"/>
    </w:p>
    <w:p w14:paraId="661A26D4">
      <w:pPr>
        <w:widowControl/>
        <w:numPr>
          <w:ilvl w:val="255"/>
          <w:numId w:val="0"/>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bookmarkStart w:id="13" w:name="_bookmark6"/>
      <w:bookmarkEnd w:id="13"/>
      <w:r>
        <w:rPr>
          <w:rFonts w:hint="eastAsia" w:ascii="Times New Roman" w:hAnsi="Times New Roman" w:eastAsia="仿宋_GB2312" w:cs="仿宋_GB2312"/>
          <w:color w:val="auto"/>
          <w:kern w:val="2"/>
          <w:sz w:val="32"/>
          <w:szCs w:val="32"/>
          <w:highlight w:val="none"/>
        </w:rPr>
        <w:t>商业计划书专项赛要求提交商业计划书、演示视频、展示图片、简介“门型展架”、参赛作品PPT。</w:t>
      </w:r>
    </w:p>
    <w:p w14:paraId="14508882">
      <w:pPr>
        <w:widowControl/>
        <w:numPr>
          <w:ilvl w:val="255"/>
          <w:numId w:val="0"/>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具体附件要求如下：</w:t>
      </w:r>
    </w:p>
    <w:p w14:paraId="70918F82">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商业计划书</w:t>
      </w:r>
    </w:p>
    <w:p w14:paraId="1B3B557B">
      <w:pPr>
        <w:widowControl/>
        <w:numPr>
          <w:ilvl w:val="255"/>
          <w:numId w:val="0"/>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商业计划书内容建议包括但不限于以下内容：（1）项目意义</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2）团队介绍</w:t>
      </w:r>
      <w:r>
        <w:rPr>
          <w:rFonts w:hint="eastAsia" w:ascii="Times New Roman" w:hAnsi="Times New Roman" w:eastAsia="仿宋_GB2312" w:cs="仿宋_GB2312"/>
          <w:color w:val="auto"/>
          <w:kern w:val="2"/>
          <w:sz w:val="32"/>
          <w:szCs w:val="32"/>
          <w:highlight w:val="none"/>
          <w:lang w:eastAsia="zh-CN"/>
        </w:rPr>
        <w:t>；（3）</w:t>
      </w:r>
      <w:r>
        <w:rPr>
          <w:rFonts w:hint="eastAsia" w:ascii="Times New Roman" w:hAnsi="Times New Roman" w:eastAsia="仿宋_GB2312" w:cs="仿宋_GB2312"/>
          <w:color w:val="auto"/>
          <w:kern w:val="2"/>
          <w:sz w:val="32"/>
          <w:szCs w:val="32"/>
          <w:highlight w:val="none"/>
        </w:rPr>
        <w:t>产品内容</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4）行业及市场情况</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5）营销策略</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6）融资说明</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7）财务计划</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8）风险控制</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9）项目实施难度。商业计划书模板详见</w:t>
      </w:r>
      <w:r>
        <w:rPr>
          <w:rFonts w:hint="eastAsia" w:ascii="Times New Roman" w:hAnsi="Times New Roman" w:eastAsia="黑体" w:cs="黑体"/>
          <w:color w:val="auto"/>
          <w:kern w:val="2"/>
          <w:sz w:val="32"/>
          <w:szCs w:val="32"/>
          <w:highlight w:val="none"/>
        </w:rPr>
        <w:t>附件二</w:t>
      </w:r>
      <w:r>
        <w:rPr>
          <w:rFonts w:hint="eastAsia" w:ascii="Times New Roman" w:hAnsi="Times New Roman" w:eastAsia="仿宋_GB2312" w:cs="仿宋_GB2312"/>
          <w:color w:val="auto"/>
          <w:kern w:val="2"/>
          <w:sz w:val="32"/>
          <w:szCs w:val="32"/>
          <w:highlight w:val="none"/>
        </w:rPr>
        <w:t>。</w:t>
      </w:r>
    </w:p>
    <w:p w14:paraId="4E4B0ED9">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演示视频</w:t>
      </w:r>
    </w:p>
    <w:p w14:paraId="30857965">
      <w:pPr>
        <w:widowControl/>
        <w:numPr>
          <w:ilvl w:val="0"/>
          <w:numId w:val="24"/>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视频分辨率不小于 1</w:t>
      </w:r>
      <w:r>
        <w:rPr>
          <w:rFonts w:hint="eastAsia" w:ascii="Times New Roman" w:hAnsi="Times New Roman" w:eastAsia="仿宋_GB2312" w:cs="仿宋_GB2312"/>
          <w:color w:val="auto"/>
          <w:kern w:val="2"/>
          <w:sz w:val="32"/>
          <w:szCs w:val="32"/>
          <w:highlight w:val="none"/>
          <w:lang w:val="en-US"/>
        </w:rPr>
        <w:t>920</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1080</w:t>
      </w:r>
      <w:r>
        <w:rPr>
          <w:rFonts w:hint="eastAsia" w:ascii="Times New Roman" w:hAnsi="Times New Roman" w:eastAsia="仿宋_GB2312" w:cs="仿宋_GB2312"/>
          <w:color w:val="auto"/>
          <w:kern w:val="2"/>
          <w:sz w:val="32"/>
          <w:szCs w:val="32"/>
          <w:highlight w:val="none"/>
        </w:rPr>
        <w:t>，大小不超过100M，时长不超过</w:t>
      </w:r>
      <w:r>
        <w:rPr>
          <w:rFonts w:hint="eastAsia" w:ascii="Times New Roman" w:hAnsi="Times New Roman" w:eastAsia="仿宋_GB2312" w:cs="仿宋_GB2312"/>
          <w:color w:val="auto"/>
          <w:kern w:val="2"/>
          <w:sz w:val="32"/>
          <w:szCs w:val="32"/>
          <w:highlight w:val="none"/>
          <w:lang w:val="en-US" w:eastAsia="zh-CN"/>
        </w:rPr>
        <w:t>5</w:t>
      </w:r>
      <w:r>
        <w:rPr>
          <w:rFonts w:hint="eastAsia" w:ascii="Times New Roman" w:hAnsi="Times New Roman" w:eastAsia="仿宋_GB2312" w:cs="仿宋_GB2312"/>
          <w:color w:val="auto"/>
          <w:kern w:val="2"/>
          <w:sz w:val="32"/>
          <w:szCs w:val="32"/>
          <w:highlight w:val="none"/>
        </w:rPr>
        <w:t>分钟，格式为avi、mp4、wmv 之一。视频内容应包括作品原理及创新点、结构介绍、功能演示等三部分。</w:t>
      </w:r>
    </w:p>
    <w:p w14:paraId="0B8ED403">
      <w:pPr>
        <w:widowControl/>
        <w:numPr>
          <w:ilvl w:val="0"/>
          <w:numId w:val="24"/>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出现在视频中的参赛队员需穿着正装出镜，使用普通话讲解作品，配备字幕。</w:t>
      </w:r>
    </w:p>
    <w:p w14:paraId="01683309">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参赛作品PPT</w:t>
      </w:r>
    </w:p>
    <w:p w14:paraId="157A9FBD">
      <w:pPr>
        <w:widowControl/>
        <w:numPr>
          <w:ilvl w:val="255"/>
          <w:numId w:val="0"/>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商业计划书专项赛</w:t>
      </w:r>
      <w:r>
        <w:rPr>
          <w:rFonts w:hint="eastAsia" w:ascii="Times New Roman" w:hAnsi="Times New Roman" w:eastAsia="仿宋_GB2312" w:cs="仿宋_GB2312"/>
          <w:color w:val="auto"/>
          <w:kern w:val="2"/>
          <w:sz w:val="32"/>
          <w:szCs w:val="32"/>
          <w:highlight w:val="none"/>
          <w:lang w:val="en-US"/>
        </w:rPr>
        <w:t>PPT</w:t>
      </w:r>
      <w:r>
        <w:rPr>
          <w:rFonts w:hint="eastAsia" w:ascii="Times New Roman" w:hAnsi="Times New Roman" w:eastAsia="仿宋_GB2312" w:cs="仿宋_GB2312"/>
          <w:color w:val="auto"/>
          <w:kern w:val="2"/>
          <w:sz w:val="32"/>
          <w:szCs w:val="32"/>
          <w:highlight w:val="none"/>
        </w:rPr>
        <w:t>内容</w:t>
      </w:r>
      <w:r>
        <w:rPr>
          <w:rFonts w:hint="eastAsia" w:ascii="Times New Roman" w:hAnsi="Times New Roman" w:eastAsia="仿宋_GB2312" w:cs="仿宋_GB2312"/>
          <w:color w:val="auto"/>
          <w:kern w:val="2"/>
          <w:sz w:val="32"/>
          <w:szCs w:val="32"/>
          <w:highlight w:val="none"/>
          <w:lang w:val="en-US"/>
        </w:rPr>
        <w:t>建议</w:t>
      </w:r>
      <w:r>
        <w:rPr>
          <w:rFonts w:hint="eastAsia" w:ascii="Times New Roman" w:hAnsi="Times New Roman" w:eastAsia="仿宋_GB2312" w:cs="仿宋_GB2312"/>
          <w:color w:val="auto"/>
          <w:kern w:val="2"/>
          <w:sz w:val="32"/>
          <w:szCs w:val="32"/>
          <w:highlight w:val="none"/>
        </w:rPr>
        <w:t>包括</w:t>
      </w:r>
      <w:r>
        <w:rPr>
          <w:rFonts w:hint="eastAsia" w:ascii="Times New Roman" w:hAnsi="Times New Roman" w:eastAsia="仿宋_GB2312" w:cs="仿宋_GB2312"/>
          <w:color w:val="auto"/>
          <w:kern w:val="2"/>
          <w:sz w:val="32"/>
          <w:szCs w:val="32"/>
          <w:highlight w:val="none"/>
          <w:lang w:val="en-US"/>
        </w:rPr>
        <w:t>但不限于</w:t>
      </w:r>
      <w:r>
        <w:rPr>
          <w:rFonts w:hint="eastAsia" w:ascii="Times New Roman" w:hAnsi="Times New Roman" w:eastAsia="仿宋_GB2312" w:cs="仿宋_GB2312"/>
          <w:color w:val="auto"/>
          <w:kern w:val="2"/>
          <w:sz w:val="32"/>
          <w:szCs w:val="32"/>
          <w:highlight w:val="none"/>
        </w:rPr>
        <w:t>：公司</w:t>
      </w:r>
      <w:r>
        <w:rPr>
          <w:rFonts w:hint="eastAsia" w:ascii="Times New Roman" w:hAnsi="Times New Roman" w:eastAsia="仿宋_GB2312" w:cs="仿宋_GB2312"/>
          <w:color w:val="auto"/>
          <w:kern w:val="2"/>
          <w:sz w:val="32"/>
          <w:szCs w:val="32"/>
          <w:highlight w:val="none"/>
          <w:lang w:val="en-US"/>
        </w:rPr>
        <w:t>及</w:t>
      </w:r>
      <w:r>
        <w:rPr>
          <w:rFonts w:hint="eastAsia" w:ascii="Times New Roman" w:hAnsi="Times New Roman" w:eastAsia="仿宋_GB2312" w:cs="仿宋_GB2312"/>
          <w:color w:val="auto"/>
          <w:kern w:val="2"/>
          <w:sz w:val="32"/>
          <w:szCs w:val="32"/>
          <w:highlight w:val="none"/>
        </w:rPr>
        <w:t>管理团队概述、</w:t>
      </w:r>
      <w:r>
        <w:rPr>
          <w:rFonts w:hint="eastAsia" w:ascii="Times New Roman" w:hAnsi="Times New Roman" w:eastAsia="仿宋_GB2312" w:cs="仿宋_GB2312"/>
          <w:color w:val="auto"/>
          <w:kern w:val="2"/>
          <w:sz w:val="32"/>
          <w:szCs w:val="32"/>
          <w:highlight w:val="none"/>
          <w:lang w:val="en-US"/>
        </w:rPr>
        <w:t>项目</w:t>
      </w:r>
      <w:r>
        <w:rPr>
          <w:rFonts w:hint="eastAsia" w:ascii="Times New Roman" w:hAnsi="Times New Roman" w:eastAsia="仿宋_GB2312" w:cs="仿宋_GB2312"/>
          <w:color w:val="auto"/>
          <w:kern w:val="2"/>
          <w:sz w:val="32"/>
          <w:szCs w:val="32"/>
          <w:highlight w:val="none"/>
        </w:rPr>
        <w:t>意义及创新点、</w:t>
      </w:r>
      <w:r>
        <w:rPr>
          <w:rFonts w:hint="eastAsia" w:ascii="Times New Roman" w:hAnsi="Times New Roman" w:eastAsia="仿宋_GB2312" w:cs="仿宋_GB2312"/>
          <w:color w:val="auto"/>
          <w:kern w:val="2"/>
          <w:sz w:val="32"/>
          <w:szCs w:val="32"/>
          <w:highlight w:val="none"/>
          <w:lang w:val="en-US"/>
        </w:rPr>
        <w:t>项目</w:t>
      </w:r>
      <w:r>
        <w:rPr>
          <w:rFonts w:hint="eastAsia" w:ascii="Times New Roman" w:hAnsi="Times New Roman" w:eastAsia="仿宋_GB2312" w:cs="仿宋_GB2312"/>
          <w:color w:val="auto"/>
          <w:kern w:val="2"/>
          <w:sz w:val="32"/>
          <w:szCs w:val="32"/>
          <w:highlight w:val="none"/>
        </w:rPr>
        <w:t>原理及设计方案、</w:t>
      </w:r>
      <w:r>
        <w:rPr>
          <w:rFonts w:hint="eastAsia" w:ascii="Times New Roman" w:hAnsi="Times New Roman" w:eastAsia="仿宋_GB2312" w:cs="仿宋_GB2312"/>
          <w:color w:val="auto"/>
          <w:kern w:val="2"/>
          <w:sz w:val="32"/>
          <w:szCs w:val="32"/>
          <w:highlight w:val="none"/>
          <w:lang w:val="en-US"/>
        </w:rPr>
        <w:t>项目</w:t>
      </w:r>
      <w:r>
        <w:rPr>
          <w:rFonts w:hint="eastAsia" w:ascii="Times New Roman" w:hAnsi="Times New Roman" w:eastAsia="仿宋_GB2312" w:cs="仿宋_GB2312"/>
          <w:color w:val="auto"/>
          <w:kern w:val="2"/>
          <w:sz w:val="32"/>
          <w:szCs w:val="32"/>
          <w:highlight w:val="none"/>
        </w:rPr>
        <w:t>形象及功能模拟、行业及市场、营销</w:t>
      </w:r>
      <w:r>
        <w:rPr>
          <w:rFonts w:hint="eastAsia" w:ascii="Times New Roman" w:hAnsi="Times New Roman" w:eastAsia="仿宋_GB2312" w:cs="仿宋_GB2312"/>
          <w:color w:val="auto"/>
          <w:kern w:val="2"/>
          <w:sz w:val="32"/>
          <w:szCs w:val="32"/>
          <w:highlight w:val="none"/>
          <w:lang w:val="en-US"/>
        </w:rPr>
        <w:t>及融资、财务及风险等。</w:t>
      </w:r>
      <w:r>
        <w:rPr>
          <w:rFonts w:hint="eastAsia" w:ascii="Times New Roman" w:hAnsi="Times New Roman" w:eastAsia="仿宋_GB2312" w:cs="仿宋_GB2312"/>
          <w:color w:val="auto"/>
          <w:kern w:val="2"/>
          <w:sz w:val="32"/>
          <w:szCs w:val="32"/>
          <w:highlight w:val="none"/>
        </w:rPr>
        <w:t>如已有作品实物，需一并提供参赛作品演示视频，视频要求参见本文“七</w:t>
      </w:r>
      <w:r>
        <w:rPr>
          <w:rFonts w:hint="eastAsia" w:ascii="Times New Roman" w:hAnsi="Times New Roman" w:eastAsia="仿宋_GB2312" w:cs="仿宋_GB2312"/>
          <w:color w:val="auto"/>
          <w:kern w:val="2"/>
          <w:sz w:val="32"/>
          <w:szCs w:val="32"/>
          <w:highlight w:val="none"/>
          <w:lang w:val="en-US"/>
        </w:rPr>
        <w:t>2</w:t>
      </w:r>
      <w:r>
        <w:rPr>
          <w:rFonts w:hint="eastAsia" w:ascii="Times New Roman" w:hAnsi="Times New Roman" w:eastAsia="仿宋_GB2312" w:cs="仿宋_GB2312"/>
          <w:color w:val="auto"/>
          <w:kern w:val="2"/>
          <w:sz w:val="32"/>
          <w:szCs w:val="32"/>
          <w:highlight w:val="none"/>
        </w:rPr>
        <w:t>”。作品</w:t>
      </w:r>
      <w:r>
        <w:rPr>
          <w:rFonts w:hint="eastAsia" w:ascii="Times New Roman" w:hAnsi="Times New Roman" w:eastAsia="仿宋_GB2312" w:cs="仿宋_GB2312"/>
          <w:color w:val="auto"/>
          <w:kern w:val="2"/>
          <w:sz w:val="32"/>
          <w:szCs w:val="32"/>
          <w:highlight w:val="none"/>
          <w:lang w:val="en-US"/>
        </w:rPr>
        <w:t>展示</w:t>
      </w:r>
      <w:r>
        <w:rPr>
          <w:rFonts w:hint="eastAsia" w:ascii="Times New Roman" w:hAnsi="Times New Roman" w:eastAsia="仿宋_GB2312" w:cs="仿宋_GB2312"/>
          <w:color w:val="auto"/>
          <w:kern w:val="2"/>
          <w:sz w:val="32"/>
          <w:szCs w:val="32"/>
          <w:highlight w:val="none"/>
        </w:rPr>
        <w:t>PPT模板见</w:t>
      </w:r>
      <w:r>
        <w:rPr>
          <w:rFonts w:hint="eastAsia" w:ascii="Times New Roman" w:hAnsi="Times New Roman" w:eastAsia="黑体" w:cs="黑体"/>
          <w:color w:val="auto"/>
          <w:kern w:val="2"/>
          <w:sz w:val="32"/>
          <w:szCs w:val="32"/>
          <w:highlight w:val="none"/>
        </w:rPr>
        <w:t>附件三</w:t>
      </w:r>
      <w:r>
        <w:rPr>
          <w:rFonts w:hint="eastAsia" w:ascii="Times New Roman" w:hAnsi="Times New Roman" w:eastAsia="仿宋_GB2312" w:cs="仿宋_GB2312"/>
          <w:color w:val="auto"/>
          <w:kern w:val="2"/>
          <w:sz w:val="32"/>
          <w:szCs w:val="32"/>
          <w:highlight w:val="none"/>
        </w:rPr>
        <w:t>。</w:t>
      </w:r>
    </w:p>
    <w:p w14:paraId="1C4EC35F">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展示图片</w:t>
      </w:r>
    </w:p>
    <w:p w14:paraId="14A9CAD9">
      <w:pPr>
        <w:widowControl/>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参赛作品全貌、特写照片 5 张，</w:t>
      </w:r>
      <w:r>
        <w:rPr>
          <w:rFonts w:hint="eastAsia" w:ascii="Times New Roman" w:hAnsi="Times New Roman" w:eastAsia="仿宋_GB2312" w:cs="仿宋_GB2312"/>
          <w:color w:val="auto"/>
          <w:kern w:val="2"/>
          <w:sz w:val="32"/>
          <w:szCs w:val="32"/>
          <w:highlight w:val="none"/>
          <w:lang w:val="en-US"/>
        </w:rPr>
        <w:t>每张</w:t>
      </w:r>
      <w:r>
        <w:rPr>
          <w:rFonts w:hint="eastAsia" w:ascii="Times New Roman" w:hAnsi="Times New Roman" w:eastAsia="仿宋_GB2312" w:cs="仿宋_GB2312"/>
          <w:color w:val="auto"/>
          <w:kern w:val="2"/>
          <w:sz w:val="32"/>
          <w:szCs w:val="32"/>
          <w:highlight w:val="none"/>
        </w:rPr>
        <w:t>图片大小不超过 2M。</w:t>
      </w:r>
    </w:p>
    <w:p w14:paraId="50D7B2EC">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简介“门型展架”</w:t>
      </w:r>
    </w:p>
    <w:p w14:paraId="7DF7DFE2">
      <w:pPr>
        <w:widowControl/>
        <w:numPr>
          <w:ilvl w:val="0"/>
          <w:numId w:val="25"/>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lang w:val="en-US"/>
        </w:rPr>
        <w:t>在不影响知识产权及论文发表的前提下，凝练参赛作品的主要创新。要求参赛</w:t>
      </w:r>
      <w:r>
        <w:rPr>
          <w:rFonts w:hint="eastAsia" w:ascii="Times New Roman" w:hAnsi="Times New Roman" w:eastAsia="仿宋_GB2312" w:cs="仿宋_GB2312"/>
          <w:color w:val="auto"/>
          <w:kern w:val="2"/>
          <w:sz w:val="32"/>
          <w:szCs w:val="32"/>
          <w:highlight w:val="none"/>
        </w:rPr>
        <w:t>团队：</w:t>
      </w:r>
    </w:p>
    <w:p w14:paraId="2954E906">
      <w:pPr>
        <w:widowControl/>
        <w:numPr>
          <w:ilvl w:val="0"/>
          <w:numId w:val="26"/>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清晰、简洁地描述</w:t>
      </w:r>
      <w:r>
        <w:rPr>
          <w:rFonts w:hint="eastAsia" w:ascii="Times New Roman" w:hAnsi="Times New Roman" w:eastAsia="仿宋_GB2312" w:cs="仿宋_GB2312"/>
          <w:color w:val="auto"/>
          <w:kern w:val="2"/>
          <w:sz w:val="32"/>
          <w:szCs w:val="32"/>
          <w:highlight w:val="none"/>
        </w:rPr>
        <w:t>作品</w:t>
      </w:r>
      <w:r>
        <w:rPr>
          <w:rFonts w:hint="eastAsia" w:ascii="Times New Roman" w:hAnsi="Times New Roman" w:eastAsia="仿宋_GB2312" w:cs="仿宋_GB2312"/>
          <w:color w:val="auto"/>
          <w:kern w:val="2"/>
          <w:sz w:val="32"/>
          <w:szCs w:val="32"/>
          <w:highlight w:val="none"/>
          <w:lang w:val="en-US"/>
        </w:rPr>
        <w:t>解决的关键技术问题与背景；</w:t>
      </w:r>
    </w:p>
    <w:p w14:paraId="397C51D6">
      <w:pPr>
        <w:widowControl/>
        <w:numPr>
          <w:ilvl w:val="0"/>
          <w:numId w:val="26"/>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准确、完整地</w:t>
      </w:r>
      <w:r>
        <w:rPr>
          <w:rFonts w:hint="eastAsia" w:ascii="Times New Roman" w:hAnsi="Times New Roman" w:eastAsia="仿宋_GB2312" w:cs="仿宋_GB2312"/>
          <w:color w:val="auto"/>
          <w:kern w:val="2"/>
          <w:sz w:val="32"/>
          <w:szCs w:val="32"/>
          <w:highlight w:val="none"/>
          <w:lang w:val="en-US"/>
        </w:rPr>
        <w:t>阐述参赛作品</w:t>
      </w:r>
      <w:r>
        <w:rPr>
          <w:rFonts w:hint="eastAsia" w:ascii="Times New Roman" w:hAnsi="Times New Roman" w:eastAsia="仿宋_GB2312" w:cs="仿宋_GB2312"/>
          <w:color w:val="auto"/>
          <w:kern w:val="2"/>
          <w:sz w:val="32"/>
          <w:szCs w:val="32"/>
          <w:highlight w:val="none"/>
        </w:rPr>
        <w:t>中具有创新性的关键技术；</w:t>
      </w:r>
    </w:p>
    <w:p w14:paraId="715C6398">
      <w:pPr>
        <w:widowControl/>
        <w:numPr>
          <w:ilvl w:val="0"/>
          <w:numId w:val="26"/>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客观、详实</w:t>
      </w:r>
      <w:r>
        <w:rPr>
          <w:rFonts w:hint="eastAsia" w:ascii="Times New Roman" w:hAnsi="Times New Roman" w:eastAsia="仿宋_GB2312" w:cs="仿宋_GB2312"/>
          <w:color w:val="auto"/>
          <w:kern w:val="2"/>
          <w:sz w:val="32"/>
          <w:szCs w:val="32"/>
          <w:highlight w:val="none"/>
          <w:lang w:val="en-US"/>
        </w:rPr>
        <w:t>地</w:t>
      </w:r>
      <w:r>
        <w:rPr>
          <w:rFonts w:hint="eastAsia" w:ascii="Times New Roman" w:hAnsi="Times New Roman" w:eastAsia="仿宋_GB2312" w:cs="仿宋_GB2312"/>
          <w:color w:val="auto"/>
          <w:kern w:val="2"/>
          <w:sz w:val="32"/>
          <w:szCs w:val="32"/>
          <w:highlight w:val="none"/>
        </w:rPr>
        <w:t>对比国内外同类先进技术的主要参数、设计方法、成本效益与市场竞争力。</w:t>
      </w:r>
    </w:p>
    <w:p w14:paraId="0065AACB">
      <w:pPr>
        <w:widowControl/>
        <w:numPr>
          <w:ilvl w:val="0"/>
          <w:numId w:val="25"/>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参赛团队如有成员本人署名的支持作品创新性的旁证材料，如专利、鉴定证书、验收证书/报告、论文、第三方评估等，应</w:t>
      </w:r>
      <w:r>
        <w:rPr>
          <w:rFonts w:hint="eastAsia" w:ascii="Times New Roman" w:hAnsi="Times New Roman" w:eastAsia="仿宋_GB2312" w:cs="仿宋_GB2312"/>
          <w:color w:val="auto"/>
          <w:kern w:val="2"/>
          <w:sz w:val="32"/>
          <w:szCs w:val="32"/>
          <w:highlight w:val="none"/>
          <w:lang w:val="en-US"/>
        </w:rPr>
        <w:t>在对应创新点前标明，并</w:t>
      </w:r>
      <w:r>
        <w:rPr>
          <w:rFonts w:hint="eastAsia" w:ascii="Times New Roman" w:hAnsi="Times New Roman" w:eastAsia="仿宋_GB2312" w:cs="仿宋_GB2312"/>
          <w:color w:val="auto"/>
          <w:kern w:val="2"/>
          <w:sz w:val="32"/>
          <w:szCs w:val="32"/>
          <w:highlight w:val="none"/>
        </w:rPr>
        <w:t>根据其重要程度排序，</w:t>
      </w:r>
      <w:r>
        <w:rPr>
          <w:rFonts w:hint="eastAsia" w:ascii="Times New Roman" w:hAnsi="Times New Roman" w:eastAsia="仿宋_GB2312" w:cs="仿宋_GB2312"/>
          <w:color w:val="auto"/>
          <w:kern w:val="2"/>
          <w:sz w:val="32"/>
          <w:szCs w:val="32"/>
          <w:highlight w:val="none"/>
          <w:lang w:val="en-US"/>
        </w:rPr>
        <w:t>展架仅展示团队成员本人参与的工作内容，非参赛团队成员本人</w:t>
      </w:r>
      <w:r>
        <w:rPr>
          <w:rFonts w:hint="eastAsia" w:ascii="Times New Roman" w:hAnsi="Times New Roman" w:eastAsia="仿宋_GB2312" w:cs="仿宋_GB2312"/>
          <w:color w:val="auto"/>
          <w:kern w:val="2"/>
          <w:sz w:val="32"/>
          <w:szCs w:val="32"/>
          <w:highlight w:val="none"/>
        </w:rPr>
        <w:t>的作品创新性旁证材料不作为竞赛评审依据。</w:t>
      </w:r>
    </w:p>
    <w:p w14:paraId="5755E8DD">
      <w:pPr>
        <w:widowControl/>
        <w:numPr>
          <w:ilvl w:val="0"/>
          <w:numId w:val="25"/>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lang w:val="en-US"/>
        </w:rPr>
        <w:t>展架内容要求文字精炼</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结构清晰，图文结合</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格式为jpg，大小不超过30M，用于评审现场的</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门型展架”实物尺寸要求</w:t>
      </w:r>
      <w:r>
        <w:rPr>
          <w:rFonts w:hint="eastAsia" w:ascii="Times New Roman" w:hAnsi="Times New Roman" w:eastAsia="仿宋_GB2312" w:cs="仿宋_GB2312"/>
          <w:color w:val="auto"/>
          <w:kern w:val="2"/>
          <w:sz w:val="32"/>
          <w:szCs w:val="32"/>
          <w:highlight w:val="none"/>
        </w:rPr>
        <w:t>为80*</w:t>
      </w:r>
      <w:r>
        <w:rPr>
          <w:rFonts w:hint="eastAsia" w:ascii="Times New Roman" w:hAnsi="Times New Roman" w:eastAsia="仿宋_GB2312" w:cs="仿宋_GB2312"/>
          <w:color w:val="auto"/>
          <w:kern w:val="2"/>
          <w:sz w:val="32"/>
          <w:szCs w:val="32"/>
          <w:highlight w:val="none"/>
          <w:lang w:val="en-US"/>
        </w:rPr>
        <w:t>18</w:t>
      </w:r>
      <w:r>
        <w:rPr>
          <w:rFonts w:hint="eastAsia" w:ascii="Times New Roman" w:hAnsi="Times New Roman" w:eastAsia="仿宋_GB2312" w:cs="仿宋_GB2312"/>
          <w:color w:val="auto"/>
          <w:kern w:val="2"/>
          <w:sz w:val="32"/>
          <w:szCs w:val="32"/>
          <w:highlight w:val="none"/>
        </w:rPr>
        <w:t>0cm</w:t>
      </w:r>
      <w:r>
        <w:rPr>
          <w:rFonts w:hint="eastAsia" w:ascii="Times New Roman" w:hAnsi="Times New Roman" w:eastAsia="仿宋_GB2312" w:cs="仿宋_GB2312"/>
          <w:color w:val="auto"/>
          <w:kern w:val="2"/>
          <w:sz w:val="32"/>
          <w:szCs w:val="32"/>
          <w:highlight w:val="none"/>
          <w:lang w:val="en-US"/>
        </w:rPr>
        <w:t>。优秀团队的门型展架内容将面向社会公开，以进一步促进学术交流，展示当代研究生科研风采。</w:t>
      </w:r>
      <w:r>
        <w:rPr>
          <w:rFonts w:hint="eastAsia" w:ascii="Times New Roman" w:hAnsi="Times New Roman" w:eastAsia="仿宋_GB2312" w:cs="仿宋_GB2312"/>
          <w:color w:val="auto"/>
          <w:kern w:val="2"/>
          <w:sz w:val="32"/>
          <w:szCs w:val="32"/>
          <w:highlight w:val="none"/>
        </w:rPr>
        <w:t>作品简介“</w:t>
      </w:r>
      <w:r>
        <w:rPr>
          <w:rFonts w:hint="eastAsia" w:ascii="Times New Roman" w:hAnsi="Times New Roman" w:eastAsia="仿宋_GB2312" w:cs="仿宋_GB2312"/>
          <w:color w:val="auto"/>
          <w:kern w:val="2"/>
          <w:sz w:val="32"/>
          <w:szCs w:val="32"/>
          <w:highlight w:val="none"/>
          <w:lang w:val="en-US"/>
        </w:rPr>
        <w:t>门型展架”模板</w:t>
      </w:r>
      <w:r>
        <w:rPr>
          <w:rFonts w:hint="eastAsia" w:ascii="Times New Roman" w:hAnsi="Times New Roman" w:eastAsia="黑体" w:cs="黑体"/>
          <w:color w:val="auto"/>
          <w:kern w:val="2"/>
          <w:sz w:val="32"/>
          <w:szCs w:val="32"/>
          <w:highlight w:val="none"/>
        </w:rPr>
        <w:t>见附件四</w:t>
      </w:r>
      <w:r>
        <w:rPr>
          <w:rFonts w:hint="eastAsia" w:ascii="Times New Roman" w:hAnsi="Times New Roman" w:eastAsia="仿宋_GB2312" w:cs="仿宋_GB2312"/>
          <w:color w:val="auto"/>
          <w:kern w:val="2"/>
          <w:sz w:val="32"/>
          <w:szCs w:val="32"/>
          <w:highlight w:val="none"/>
        </w:rPr>
        <w:t>。</w:t>
      </w:r>
    </w:p>
    <w:p w14:paraId="15D34C31">
      <w:pPr>
        <w:widowControl/>
        <w:numPr>
          <w:ilvl w:val="0"/>
          <w:numId w:val="23"/>
        </w:numPr>
        <w:shd w:val="clear"/>
        <w:overflowPunct w:val="0"/>
        <w:autoSpaceDE/>
        <w:autoSpaceDN/>
        <w:spacing w:line="560" w:lineRule="exact"/>
        <w:ind w:firstLine="640" w:firstLineChars="200"/>
        <w:jc w:val="both"/>
        <w:rPr>
          <w:rFonts w:ascii="Times New Roman" w:hAnsi="Times New Roman" w:eastAsia="楷体" w:cs="楷体"/>
          <w:color w:val="auto"/>
          <w:kern w:val="2"/>
          <w:sz w:val="32"/>
          <w:szCs w:val="32"/>
          <w:highlight w:val="none"/>
        </w:rPr>
      </w:pPr>
      <w:r>
        <w:rPr>
          <w:rFonts w:hint="eastAsia" w:ascii="Times New Roman" w:hAnsi="Times New Roman" w:eastAsia="楷体" w:cs="楷体"/>
          <w:color w:val="auto"/>
          <w:kern w:val="2"/>
          <w:sz w:val="32"/>
          <w:szCs w:val="32"/>
          <w:highlight w:val="none"/>
        </w:rPr>
        <w:t>作品提交</w:t>
      </w:r>
    </w:p>
    <w:p w14:paraId="661EB6DC">
      <w:pPr>
        <w:widowControl/>
        <w:numPr>
          <w:ilvl w:val="0"/>
          <w:numId w:val="27"/>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将</w:t>
      </w:r>
      <w:r>
        <w:rPr>
          <w:rFonts w:hint="eastAsia" w:ascii="Times New Roman" w:hAnsi="Times New Roman" w:eastAsia="仿宋_GB2312" w:cs="仿宋_GB2312"/>
          <w:color w:val="auto"/>
          <w:kern w:val="2"/>
          <w:sz w:val="32"/>
          <w:szCs w:val="32"/>
          <w:highlight w:val="none"/>
          <w:lang w:val="en-US"/>
        </w:rPr>
        <w:t>pdf</w:t>
      </w:r>
      <w:r>
        <w:rPr>
          <w:rFonts w:hint="eastAsia" w:ascii="Times New Roman" w:hAnsi="Times New Roman" w:eastAsia="仿宋_GB2312" w:cs="仿宋_GB2312"/>
          <w:color w:val="auto"/>
          <w:kern w:val="2"/>
          <w:sz w:val="32"/>
          <w:szCs w:val="32"/>
          <w:highlight w:val="none"/>
        </w:rPr>
        <w:t>格式</w:t>
      </w:r>
      <w:r>
        <w:rPr>
          <w:rFonts w:hint="eastAsia" w:ascii="Times New Roman" w:hAnsi="Times New Roman" w:eastAsia="仿宋_GB2312" w:cs="仿宋_GB2312"/>
          <w:color w:val="auto"/>
          <w:kern w:val="2"/>
          <w:sz w:val="32"/>
          <w:szCs w:val="32"/>
          <w:highlight w:val="none"/>
          <w:lang w:val="en-US"/>
        </w:rPr>
        <w:t>与docx格式的商业计划书</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jpg格式简介“门型展架”电子文件，分别提交</w:t>
      </w:r>
      <w:r>
        <w:rPr>
          <w:rFonts w:hint="eastAsia" w:ascii="Times New Roman" w:hAnsi="Times New Roman" w:eastAsia="仿宋_GB2312" w:cs="仿宋_GB2312"/>
          <w:color w:val="auto"/>
          <w:kern w:val="2"/>
          <w:sz w:val="32"/>
          <w:szCs w:val="32"/>
          <w:highlight w:val="none"/>
        </w:rPr>
        <w:t>至官网作品提交界面对应处。</w:t>
      </w:r>
    </w:p>
    <w:p w14:paraId="435A0591">
      <w:pPr>
        <w:widowControl/>
        <w:numPr>
          <w:ilvl w:val="0"/>
          <w:numId w:val="27"/>
        </w:numPr>
        <w:shd w:val="clear"/>
        <w:overflowPunct w:val="0"/>
        <w:autoSpaceDE/>
        <w:autoSpaceDN/>
        <w:spacing w:line="560" w:lineRule="exact"/>
        <w:ind w:left="0"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lang w:val="en-US"/>
        </w:rPr>
        <w:t>将</w:t>
      </w:r>
      <w:r>
        <w:rPr>
          <w:rFonts w:hint="eastAsia" w:ascii="Times New Roman" w:hAnsi="Times New Roman" w:eastAsia="仿宋_GB2312" w:cs="仿宋_GB2312"/>
          <w:color w:val="auto"/>
          <w:kern w:val="2"/>
          <w:sz w:val="32"/>
          <w:szCs w:val="32"/>
          <w:highlight w:val="none"/>
        </w:rPr>
        <w:t>演示视频、展示照片、</w:t>
      </w:r>
      <w:r>
        <w:rPr>
          <w:rFonts w:hint="eastAsia" w:ascii="Times New Roman" w:hAnsi="Times New Roman" w:eastAsia="仿宋_GB2312" w:cs="仿宋_GB2312"/>
          <w:color w:val="auto"/>
          <w:kern w:val="2"/>
          <w:sz w:val="32"/>
          <w:szCs w:val="32"/>
          <w:highlight w:val="none"/>
          <w:lang w:val="en-US"/>
        </w:rPr>
        <w:t>答辩PPT</w:t>
      </w:r>
      <w:r>
        <w:rPr>
          <w:rFonts w:hint="eastAsia" w:ascii="Times New Roman" w:hAnsi="Times New Roman" w:eastAsia="仿宋_GB2312" w:cs="仿宋_GB2312"/>
          <w:color w:val="auto"/>
          <w:kern w:val="2"/>
          <w:sz w:val="32"/>
          <w:szCs w:val="32"/>
          <w:highlight w:val="none"/>
        </w:rPr>
        <w:t>及其他电子文</w:t>
      </w:r>
      <w:r>
        <w:rPr>
          <w:rFonts w:hint="eastAsia" w:ascii="Times New Roman" w:hAnsi="Times New Roman" w:eastAsia="仿宋_GB2312" w:cs="仿宋_GB2312"/>
          <w:color w:val="auto"/>
          <w:kern w:val="2"/>
          <w:sz w:val="32"/>
          <w:szCs w:val="32"/>
          <w:highlight w:val="none"/>
          <w:lang w:val="en-US"/>
        </w:rPr>
        <w:t>档以类别命名，压缩至同一文件夹中，并命名为</w:t>
      </w:r>
      <w:r>
        <w:rPr>
          <w:rFonts w:hint="eastAsia" w:ascii="Times New Roman" w:hAnsi="Times New Roman" w:eastAsia="仿宋_GB2312" w:cs="仿宋_GB2312"/>
          <w:color w:val="auto"/>
          <w:kern w:val="2"/>
          <w:sz w:val="32"/>
          <w:szCs w:val="32"/>
          <w:highlight w:val="none"/>
        </w:rPr>
        <w:t>“学校</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参赛队</w:t>
      </w:r>
      <w:r>
        <w:rPr>
          <w:rFonts w:hint="eastAsia" w:ascii="Times New Roman" w:hAnsi="Times New Roman" w:eastAsia="仿宋_GB2312" w:cs="仿宋_GB2312"/>
          <w:color w:val="auto"/>
          <w:kern w:val="2"/>
          <w:sz w:val="32"/>
          <w:szCs w:val="32"/>
          <w:highlight w:val="none"/>
          <w:lang w:eastAsia="zh-CN"/>
        </w:rPr>
        <w:t>－</w:t>
      </w:r>
      <w:r>
        <w:rPr>
          <w:rFonts w:hint="eastAsia" w:ascii="Times New Roman" w:hAnsi="Times New Roman" w:eastAsia="仿宋_GB2312" w:cs="仿宋_GB2312"/>
          <w:color w:val="auto"/>
          <w:kern w:val="2"/>
          <w:sz w:val="32"/>
          <w:szCs w:val="32"/>
          <w:highlight w:val="none"/>
        </w:rPr>
        <w:t>作品名称”，上传至</w:t>
      </w:r>
      <w:r>
        <w:rPr>
          <w:rFonts w:hint="eastAsia" w:ascii="Times New Roman" w:hAnsi="Times New Roman" w:eastAsia="仿宋_GB2312" w:cs="仿宋_GB2312"/>
          <w:color w:val="auto"/>
          <w:kern w:val="2"/>
          <w:sz w:val="32"/>
          <w:szCs w:val="32"/>
          <w:highlight w:val="none"/>
          <w:lang w:val="en-US"/>
        </w:rPr>
        <w:t>百度网盘</w:t>
      </w:r>
      <w:r>
        <w:rPr>
          <w:rFonts w:hint="eastAsia" w:ascii="Times New Roman" w:hAnsi="Times New Roman" w:eastAsia="仿宋_GB2312" w:cs="仿宋_GB2312"/>
          <w:color w:val="auto"/>
          <w:kern w:val="2"/>
          <w:sz w:val="32"/>
          <w:szCs w:val="32"/>
          <w:highlight w:val="none"/>
        </w:rPr>
        <w:t>，将下载链接</w:t>
      </w:r>
      <w:r>
        <w:rPr>
          <w:rFonts w:hint="eastAsia" w:ascii="Times New Roman" w:hAnsi="Times New Roman" w:eastAsia="仿宋_GB2312" w:cs="仿宋_GB2312"/>
          <w:color w:val="auto"/>
          <w:kern w:val="2"/>
          <w:sz w:val="32"/>
          <w:szCs w:val="32"/>
          <w:highlight w:val="none"/>
          <w:lang w:val="en-US"/>
        </w:rPr>
        <w:t>与密码</w:t>
      </w:r>
      <w:r>
        <w:rPr>
          <w:rFonts w:hint="eastAsia" w:ascii="Times New Roman" w:hAnsi="Times New Roman" w:eastAsia="仿宋_GB2312" w:cs="仿宋_GB2312"/>
          <w:color w:val="auto"/>
          <w:kern w:val="2"/>
          <w:sz w:val="32"/>
          <w:szCs w:val="32"/>
          <w:highlight w:val="none"/>
        </w:rPr>
        <w:t>提交至竞赛官网后，即完成官网作品提交。</w:t>
      </w:r>
    </w:p>
    <w:p w14:paraId="6F9457E0">
      <w:pPr>
        <w:pStyle w:val="2"/>
        <w:numPr>
          <w:ilvl w:val="0"/>
          <w:numId w:val="1"/>
        </w:numPr>
        <w:shd w:val="clear"/>
        <w:bidi w:val="0"/>
        <w:rPr>
          <w:color w:val="auto"/>
          <w:highlight w:val="none"/>
          <w:lang w:val="en-US"/>
        </w:rPr>
      </w:pPr>
      <w:bookmarkStart w:id="14" w:name="_Toc8792"/>
      <w:r>
        <w:rPr>
          <w:rFonts w:hint="eastAsia"/>
          <w:color w:val="auto"/>
          <w:highlight w:val="none"/>
          <w:lang w:val="en-US"/>
        </w:rPr>
        <w:t>评审办法</w:t>
      </w:r>
      <w:bookmarkEnd w:id="14"/>
    </w:p>
    <w:p w14:paraId="28FC222A">
      <w:pPr>
        <w:widowControl/>
        <w:numPr>
          <w:ilvl w:val="0"/>
          <w:numId w:val="28"/>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竞赛分为两级评审，包含分赛区初赛评审和全国总决赛评审。</w:t>
      </w:r>
    </w:p>
    <w:p w14:paraId="6BB76D69">
      <w:pPr>
        <w:widowControl/>
        <w:numPr>
          <w:ilvl w:val="0"/>
          <w:numId w:val="28"/>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分赛区评审中，由创投、高校专家组成评审组，按初赛获奖与晋级比例评定奖励。</w:t>
      </w:r>
    </w:p>
    <w:p w14:paraId="76ED5246">
      <w:pPr>
        <w:widowControl/>
        <w:numPr>
          <w:ilvl w:val="0"/>
          <w:numId w:val="28"/>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lang w:val="en-US"/>
        </w:rPr>
        <w:t>全国总决赛评审中，以研电赛商业计划书专项赛评审标准为指导，按全国总决赛获奖比例，产生决赛团队一二三等奖。</w:t>
      </w:r>
    </w:p>
    <w:p w14:paraId="097A2E76">
      <w:pPr>
        <w:widowControl/>
        <w:numPr>
          <w:ilvl w:val="0"/>
          <w:numId w:val="28"/>
        </w:numPr>
        <w:shd w:val="clear"/>
        <w:overflowPunct w:val="0"/>
        <w:autoSpaceDE/>
        <w:autoSpaceDN/>
        <w:spacing w:line="560" w:lineRule="exact"/>
        <w:ind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产业转化赛道评审重点关注项目样机或系统完整度、应用场景真实性、近期落地转化潜力以及当前投资价值。</w:t>
      </w:r>
    </w:p>
    <w:p w14:paraId="2F550F0E">
      <w:pPr>
        <w:widowControl/>
        <w:numPr>
          <w:ilvl w:val="0"/>
          <w:numId w:val="28"/>
        </w:numPr>
        <w:shd w:val="clear"/>
        <w:overflowPunct w:val="0"/>
        <w:autoSpaceDE/>
        <w:autoSpaceDN/>
        <w:spacing w:line="560" w:lineRule="exact"/>
        <w:ind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前沿孵化赛道评审重点关注项目关键技术突破、核心模块验证程度、未来产业价值以及中长期孵化和投资潜力。</w:t>
      </w:r>
    </w:p>
    <w:p w14:paraId="6D2F49AD">
      <w:pPr>
        <w:widowControl/>
        <w:numPr>
          <w:ilvl w:val="0"/>
          <w:numId w:val="28"/>
        </w:numPr>
        <w:shd w:val="clear"/>
        <w:overflowPunct w:val="0"/>
        <w:autoSpaceDE/>
        <w:autoSpaceDN/>
        <w:spacing w:line="560" w:lineRule="exact"/>
        <w:ind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商业计划书专项赛具体参考评分标准如下：</w:t>
      </w:r>
    </w:p>
    <w:p w14:paraId="4A2A5786">
      <w:pPr>
        <w:widowControl/>
        <w:shd w:val="clear"/>
        <w:overflowPunct w:val="0"/>
        <w:autoSpaceDE/>
        <w:autoSpaceDN/>
        <w:spacing w:line="560" w:lineRule="exact"/>
        <w:jc w:val="center"/>
        <w:rPr>
          <w:rFonts w:ascii="Times New Roman" w:hAnsi="Times New Roman" w:eastAsia="仿宋_GB2312" w:cs="仿宋_GB2312"/>
          <w:color w:val="auto"/>
          <w:kern w:val="2"/>
          <w:sz w:val="32"/>
          <w:szCs w:val="32"/>
          <w:highlight w:val="none"/>
        </w:rPr>
      </w:pPr>
      <w:r>
        <w:rPr>
          <w:rFonts w:hint="eastAsia" w:ascii="Times New Roman" w:hAnsi="Times New Roman" w:eastAsia="黑体" w:cs="黑体"/>
          <w:color w:val="auto"/>
          <w:sz w:val="32"/>
          <w:szCs w:val="32"/>
          <w:highlight w:val="none"/>
        </w:rPr>
        <w:t>第二十一届研电赛商业计划书专项赛评审标准</w:t>
      </w:r>
    </w:p>
    <w:tbl>
      <w:tblPr>
        <w:tblStyle w:val="9"/>
        <w:tblW w:w="0" w:type="auto"/>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Grid>
        <w:gridCol w:w="1544"/>
        <w:gridCol w:w="943"/>
        <w:gridCol w:w="2194"/>
        <w:gridCol w:w="4399"/>
      </w:tblGrid>
      <w:tr w14:paraId="6D7769AD">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shd w:val="clear" w:color="auto" w:fill="EAF3FA"/>
            <w:vAlign w:val="center"/>
          </w:tcPr>
          <w:p w14:paraId="556C9C40">
            <w:pPr>
              <w:shd w:val="clear"/>
              <w:spacing w:before="40" w:after="40" w:line="264" w:lineRule="auto"/>
              <w:jc w:val="center"/>
              <w:rPr>
                <w:rFonts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类别</w:t>
            </w:r>
          </w:p>
        </w:tc>
        <w:tc>
          <w:tcPr>
            <w:tcW w:w="943" w:type="dxa"/>
            <w:shd w:val="clear" w:color="auto" w:fill="EAF3FA"/>
            <w:vAlign w:val="center"/>
          </w:tcPr>
          <w:p w14:paraId="42B324A8">
            <w:pPr>
              <w:shd w:val="clear"/>
              <w:spacing w:before="40" w:after="40" w:line="264" w:lineRule="auto"/>
              <w:jc w:val="center"/>
              <w:rPr>
                <w:rFonts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权重</w:t>
            </w:r>
          </w:p>
        </w:tc>
        <w:tc>
          <w:tcPr>
            <w:tcW w:w="2194" w:type="dxa"/>
            <w:shd w:val="clear" w:color="auto" w:fill="EAF3FA"/>
            <w:vAlign w:val="center"/>
          </w:tcPr>
          <w:p w14:paraId="6D921FF7">
            <w:pPr>
              <w:shd w:val="clear"/>
              <w:spacing w:before="40" w:after="40" w:line="264" w:lineRule="auto"/>
              <w:jc w:val="center"/>
              <w:rPr>
                <w:rFonts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指标</w:t>
            </w:r>
          </w:p>
        </w:tc>
        <w:tc>
          <w:tcPr>
            <w:tcW w:w="4399" w:type="dxa"/>
            <w:shd w:val="clear" w:color="auto" w:fill="EAF3FA"/>
            <w:vAlign w:val="center"/>
          </w:tcPr>
          <w:p w14:paraId="19E125E4">
            <w:pPr>
              <w:shd w:val="clear"/>
              <w:spacing w:before="40" w:after="40" w:line="264" w:lineRule="auto"/>
              <w:jc w:val="center"/>
              <w:rPr>
                <w:rFonts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评审标准</w:t>
            </w:r>
          </w:p>
        </w:tc>
      </w:tr>
      <w:tr w14:paraId="1B4647B1">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Align w:val="center"/>
          </w:tcPr>
          <w:p w14:paraId="191E077D">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商业文本</w:t>
            </w:r>
          </w:p>
        </w:tc>
        <w:tc>
          <w:tcPr>
            <w:tcW w:w="943" w:type="dxa"/>
            <w:vAlign w:val="center"/>
          </w:tcPr>
          <w:p w14:paraId="301200C8">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p>
        </w:tc>
        <w:tc>
          <w:tcPr>
            <w:tcW w:w="2194" w:type="dxa"/>
            <w:vAlign w:val="center"/>
          </w:tcPr>
          <w:p w14:paraId="3DB4BF3D">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项目计划书</w:t>
            </w:r>
          </w:p>
        </w:tc>
        <w:tc>
          <w:tcPr>
            <w:tcW w:w="4399" w:type="dxa"/>
            <w:vAlign w:val="center"/>
          </w:tcPr>
          <w:p w14:paraId="5A19650B">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项目材料结构完整，逻辑清晰，重点突出，能够较准</w:t>
            </w:r>
            <w:r>
              <w:rPr>
                <w:rFonts w:hint="eastAsia" w:ascii="Times New Roman" w:hAnsi="Times New Roman" w:eastAsia="仿宋_GB2312" w:cs="仿宋_GB2312"/>
                <w:color w:val="auto"/>
                <w:sz w:val="32"/>
                <w:szCs w:val="32"/>
                <w:highlight w:val="none"/>
                <w:lang w:eastAsia="zh-CN"/>
              </w:rPr>
              <w:t>确地</w:t>
            </w:r>
            <w:r>
              <w:rPr>
                <w:rFonts w:hint="eastAsia" w:ascii="Times New Roman" w:hAnsi="Times New Roman" w:eastAsia="仿宋_GB2312" w:cs="仿宋_GB2312"/>
                <w:color w:val="auto"/>
                <w:sz w:val="32"/>
                <w:szCs w:val="32"/>
                <w:highlight w:val="none"/>
              </w:rPr>
              <w:t>说明项目的核心问题、解决方案、技术特点、应用方向及发展路径。</w:t>
            </w:r>
          </w:p>
        </w:tc>
      </w:tr>
      <w:tr w14:paraId="4F0ADD84">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Align w:val="center"/>
          </w:tcPr>
          <w:p w14:paraId="72390BF8">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团队价值</w:t>
            </w:r>
          </w:p>
        </w:tc>
        <w:tc>
          <w:tcPr>
            <w:tcW w:w="943" w:type="dxa"/>
            <w:vAlign w:val="center"/>
          </w:tcPr>
          <w:p w14:paraId="118D0B8D">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20</w:t>
            </w:r>
          </w:p>
        </w:tc>
        <w:tc>
          <w:tcPr>
            <w:tcW w:w="2194" w:type="dxa"/>
            <w:vAlign w:val="center"/>
          </w:tcPr>
          <w:p w14:paraId="6B00EDC5">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团队基础与发展潜力</w:t>
            </w:r>
          </w:p>
        </w:tc>
        <w:tc>
          <w:tcPr>
            <w:tcW w:w="4399" w:type="dxa"/>
            <w:vAlign w:val="center"/>
          </w:tcPr>
          <w:p w14:paraId="1DAE9EB2">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团队成员与项目方向匹配度高，分工合理，具备持续推进项目研发、验证和后续发展的能力。</w:t>
            </w:r>
          </w:p>
        </w:tc>
      </w:tr>
      <w:tr w14:paraId="6F37C908">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restart"/>
            <w:vAlign w:val="center"/>
          </w:tcPr>
          <w:p w14:paraId="6EE0FC66">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项目价值</w:t>
            </w:r>
          </w:p>
        </w:tc>
        <w:tc>
          <w:tcPr>
            <w:tcW w:w="943" w:type="dxa"/>
            <w:vAlign w:val="center"/>
          </w:tcPr>
          <w:p w14:paraId="483FC107">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15</w:t>
            </w:r>
          </w:p>
        </w:tc>
        <w:tc>
          <w:tcPr>
            <w:tcW w:w="2194" w:type="dxa"/>
            <w:vAlign w:val="center"/>
          </w:tcPr>
          <w:p w14:paraId="50DCF9A4">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技术创新性</w:t>
            </w:r>
          </w:p>
        </w:tc>
        <w:tc>
          <w:tcPr>
            <w:tcW w:w="4399" w:type="dxa"/>
            <w:vAlign w:val="center"/>
          </w:tcPr>
          <w:p w14:paraId="4861E916">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项目在设计思路、核心技术、关键功能和实现方法等方面具有较好的创新性，能够体现一定技术突破或特色优势。</w:t>
            </w:r>
          </w:p>
        </w:tc>
      </w:tr>
      <w:tr w14:paraId="7BBF8E75">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4A282227">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Merge w:val="restart"/>
            <w:vAlign w:val="center"/>
          </w:tcPr>
          <w:p w14:paraId="00B321E4">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15</w:t>
            </w:r>
          </w:p>
        </w:tc>
        <w:tc>
          <w:tcPr>
            <w:tcW w:w="2194" w:type="dxa"/>
            <w:vAlign w:val="center"/>
          </w:tcPr>
          <w:p w14:paraId="7327D4A2">
            <w:pPr>
              <w:shd w:val="clear"/>
              <w:spacing w:before="40" w:after="40" w:line="264" w:lineRule="auto"/>
              <w:rPr>
                <w:rFonts w:ascii="Times New Roman" w:hAnsi="Times New Roman" w:eastAsia="仿宋_GB2312" w:cs="仿宋_GB2312"/>
                <w:color w:val="auto"/>
                <w:sz w:val="32"/>
                <w:szCs w:val="32"/>
                <w:highlight w:val="none"/>
              </w:rPr>
            </w:pPr>
            <w:r>
              <w:rPr>
                <w:rStyle w:val="11"/>
                <w:rFonts w:hint="eastAsia" w:ascii="黑体" w:hAnsi="黑体" w:eastAsia="黑体" w:cs="黑体"/>
                <w:b w:val="0"/>
                <w:bCs w:val="0"/>
                <w:color w:val="auto"/>
                <w:sz w:val="32"/>
                <w:szCs w:val="32"/>
                <w:highlight w:val="none"/>
                <w:shd w:val="clear" w:color="auto" w:fill="FFFFFF"/>
              </w:rPr>
              <w:t>产业转化赛道</w:t>
            </w:r>
            <w:r>
              <w:rPr>
                <w:rStyle w:val="11"/>
                <w:rFonts w:hint="eastAsia" w:ascii="黑体" w:hAnsi="黑体" w:eastAsia="黑体" w:cs="黑体"/>
                <w:b w:val="0"/>
                <w:bCs w:val="0"/>
                <w:color w:val="auto"/>
                <w:sz w:val="32"/>
                <w:szCs w:val="32"/>
                <w:highlight w:val="none"/>
                <w:shd w:val="clear" w:color="auto" w:fill="FFFFFF"/>
                <w:lang w:eastAsia="zh-CN"/>
              </w:rPr>
              <w:t>－</w:t>
            </w:r>
            <w:r>
              <w:rPr>
                <w:rFonts w:hint="eastAsia" w:ascii="Times New Roman" w:hAnsi="Times New Roman" w:eastAsia="仿宋_GB2312" w:cs="仿宋_GB2312"/>
                <w:color w:val="auto"/>
                <w:sz w:val="32"/>
                <w:szCs w:val="32"/>
                <w:highlight w:val="none"/>
              </w:rPr>
              <w:t>可实现性</w:t>
            </w:r>
          </w:p>
        </w:tc>
        <w:tc>
          <w:tcPr>
            <w:tcW w:w="4399" w:type="dxa"/>
            <w:vAlign w:val="center"/>
          </w:tcPr>
          <w:p w14:paraId="5A153C85">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项目已形成较完整样机、系统或解决方案，能够完整展示核心功能，具有较强可行性和可靠性。</w:t>
            </w:r>
          </w:p>
        </w:tc>
      </w:tr>
      <w:tr w14:paraId="7038AB97">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7EC91E07">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Merge w:val="continue"/>
            <w:vAlign w:val="center"/>
          </w:tcPr>
          <w:p w14:paraId="0491F8BE">
            <w:pPr>
              <w:shd w:val="clear"/>
              <w:spacing w:before="40" w:after="40" w:line="264" w:lineRule="auto"/>
              <w:jc w:val="center"/>
              <w:rPr>
                <w:rFonts w:ascii="Times New Roman" w:hAnsi="Times New Roman" w:eastAsia="仿宋_GB2312" w:cs="仿宋_GB2312"/>
                <w:color w:val="auto"/>
                <w:sz w:val="32"/>
                <w:szCs w:val="32"/>
                <w:highlight w:val="none"/>
              </w:rPr>
            </w:pPr>
          </w:p>
        </w:tc>
        <w:tc>
          <w:tcPr>
            <w:tcW w:w="2194" w:type="dxa"/>
            <w:vAlign w:val="center"/>
          </w:tcPr>
          <w:p w14:paraId="6F0050C9">
            <w:pPr>
              <w:shd w:val="clear"/>
              <w:spacing w:before="40" w:after="40" w:line="264" w:lineRule="auto"/>
              <w:rPr>
                <w:rFonts w:ascii="Times New Roman" w:hAnsi="Times New Roman" w:eastAsia="仿宋_GB2312" w:cs="仿宋_GB2312"/>
                <w:color w:val="auto"/>
                <w:sz w:val="32"/>
                <w:szCs w:val="32"/>
                <w:highlight w:val="none"/>
              </w:rPr>
            </w:pPr>
            <w:r>
              <w:rPr>
                <w:rStyle w:val="11"/>
                <w:rFonts w:hint="eastAsia" w:ascii="黑体" w:hAnsi="黑体" w:eastAsia="黑体" w:cs="黑体"/>
                <w:b w:val="0"/>
                <w:bCs w:val="0"/>
                <w:color w:val="auto"/>
                <w:sz w:val="32"/>
                <w:szCs w:val="32"/>
                <w:highlight w:val="none"/>
                <w:shd w:val="clear" w:color="auto" w:fill="FFFFFF"/>
              </w:rPr>
              <w:t>前沿孵化赛道</w:t>
            </w:r>
            <w:r>
              <w:rPr>
                <w:rStyle w:val="11"/>
                <w:rFonts w:hint="eastAsia" w:ascii="黑体" w:hAnsi="黑体" w:eastAsia="黑体" w:cs="黑体"/>
                <w:b w:val="0"/>
                <w:bCs w:val="0"/>
                <w:color w:val="auto"/>
                <w:sz w:val="32"/>
                <w:szCs w:val="32"/>
                <w:highlight w:val="none"/>
                <w:shd w:val="clear" w:color="auto" w:fill="FFFFFF"/>
                <w:lang w:eastAsia="zh-CN"/>
              </w:rPr>
              <w:t>－</w:t>
            </w:r>
            <w:r>
              <w:rPr>
                <w:rFonts w:hint="eastAsia" w:ascii="Times New Roman" w:hAnsi="Times New Roman" w:eastAsia="仿宋_GB2312" w:cs="仿宋_GB2312"/>
                <w:color w:val="auto"/>
                <w:sz w:val="32"/>
                <w:szCs w:val="32"/>
                <w:highlight w:val="none"/>
              </w:rPr>
              <w:t>核心验证程度</w:t>
            </w:r>
          </w:p>
        </w:tc>
        <w:tc>
          <w:tcPr>
            <w:tcW w:w="4399" w:type="dxa"/>
            <w:vAlign w:val="center"/>
          </w:tcPr>
          <w:p w14:paraId="7A281EF6">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项目已完成关键技术验证，形成核心模块样机、原理系统或实验系统，能够证明技术路线的可行性。</w:t>
            </w:r>
          </w:p>
        </w:tc>
      </w:tr>
      <w:tr w14:paraId="7ADDC0AD">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491BB32B">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Align w:val="center"/>
          </w:tcPr>
          <w:p w14:paraId="46B56771">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p>
        </w:tc>
        <w:tc>
          <w:tcPr>
            <w:tcW w:w="2194" w:type="dxa"/>
            <w:vAlign w:val="center"/>
          </w:tcPr>
          <w:p w14:paraId="384E2654">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应用价值</w:t>
            </w:r>
          </w:p>
        </w:tc>
        <w:tc>
          <w:tcPr>
            <w:tcW w:w="4399" w:type="dxa"/>
            <w:vAlign w:val="center"/>
          </w:tcPr>
          <w:p w14:paraId="29213AE9">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项目能够解决实际问题，应用场景明确，具有较好的现实应用前景和推广价值</w:t>
            </w:r>
          </w:p>
        </w:tc>
      </w:tr>
      <w:tr w14:paraId="0194D83C">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restart"/>
            <w:vAlign w:val="center"/>
          </w:tcPr>
          <w:p w14:paraId="2835AA5B">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转化与商业价值</w:t>
            </w:r>
          </w:p>
        </w:tc>
        <w:tc>
          <w:tcPr>
            <w:tcW w:w="943" w:type="dxa"/>
            <w:vAlign w:val="center"/>
          </w:tcPr>
          <w:p w14:paraId="2DD52220">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p>
        </w:tc>
        <w:tc>
          <w:tcPr>
            <w:tcW w:w="2194" w:type="dxa"/>
            <w:vAlign w:val="center"/>
          </w:tcPr>
          <w:p w14:paraId="648B00E3">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市场与应用前景</w:t>
            </w:r>
          </w:p>
        </w:tc>
        <w:tc>
          <w:tcPr>
            <w:tcW w:w="4399" w:type="dxa"/>
            <w:vAlign w:val="center"/>
          </w:tcPr>
          <w:p w14:paraId="43ADE772">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项目能够结合行业或技术发展方向说明其应用前景、潜在用户或产业落点，体现一定现实价值或未来发展空间。</w:t>
            </w:r>
          </w:p>
        </w:tc>
      </w:tr>
      <w:tr w14:paraId="42F1B9B8">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463824C7">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Merge w:val="restart"/>
            <w:vAlign w:val="center"/>
          </w:tcPr>
          <w:p w14:paraId="72E7BBDC">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p>
        </w:tc>
        <w:tc>
          <w:tcPr>
            <w:tcW w:w="2194" w:type="dxa"/>
            <w:vAlign w:val="center"/>
          </w:tcPr>
          <w:p w14:paraId="3F1EDCDC">
            <w:pPr>
              <w:shd w:val="clear"/>
              <w:spacing w:before="40" w:after="40" w:line="264" w:lineRule="auto"/>
              <w:rPr>
                <w:rFonts w:ascii="Times New Roman" w:hAnsi="Times New Roman" w:eastAsia="仿宋_GB2312" w:cs="仿宋_GB2312"/>
                <w:color w:val="auto"/>
                <w:sz w:val="32"/>
                <w:szCs w:val="32"/>
                <w:highlight w:val="none"/>
              </w:rPr>
            </w:pPr>
            <w:r>
              <w:rPr>
                <w:rStyle w:val="11"/>
                <w:rFonts w:hint="eastAsia" w:ascii="黑体" w:hAnsi="黑体" w:eastAsia="黑体" w:cs="黑体"/>
                <w:b w:val="0"/>
                <w:bCs w:val="0"/>
                <w:color w:val="auto"/>
                <w:sz w:val="32"/>
                <w:szCs w:val="32"/>
                <w:highlight w:val="none"/>
                <w:shd w:val="clear" w:color="auto" w:fill="FFFFFF"/>
              </w:rPr>
              <w:t>产业转化赛道</w:t>
            </w:r>
            <w:r>
              <w:rPr>
                <w:rStyle w:val="11"/>
                <w:rFonts w:hint="eastAsia" w:ascii="黑体" w:hAnsi="黑体" w:eastAsia="黑体" w:cs="黑体"/>
                <w:b w:val="0"/>
                <w:bCs w:val="0"/>
                <w:color w:val="auto"/>
                <w:sz w:val="32"/>
                <w:szCs w:val="32"/>
                <w:highlight w:val="none"/>
                <w:shd w:val="clear" w:color="auto" w:fill="FFFFFF"/>
                <w:lang w:eastAsia="zh-CN"/>
              </w:rPr>
              <w:t>－</w:t>
            </w:r>
            <w:r>
              <w:rPr>
                <w:rFonts w:hint="eastAsia" w:ascii="Times New Roman" w:hAnsi="Times New Roman" w:eastAsia="仿宋_GB2312" w:cs="仿宋_GB2312"/>
                <w:color w:val="auto"/>
                <w:sz w:val="32"/>
                <w:szCs w:val="32"/>
                <w:highlight w:val="none"/>
              </w:rPr>
              <w:t>转化路径与实施计划</w:t>
            </w:r>
          </w:p>
        </w:tc>
        <w:tc>
          <w:tcPr>
            <w:tcW w:w="4399" w:type="dxa"/>
            <w:vAlign w:val="center"/>
          </w:tcPr>
          <w:p w14:paraId="1E0BBA2B">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项目对样机完善、试点验证、落地应用和产品迭代等路径有较清晰规划，具有较强近期转化潜力。</w:t>
            </w:r>
          </w:p>
        </w:tc>
      </w:tr>
      <w:tr w14:paraId="0B91F8E1">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4E6EA73A">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Merge w:val="continue"/>
            <w:vAlign w:val="center"/>
          </w:tcPr>
          <w:p w14:paraId="06123EAE">
            <w:pPr>
              <w:shd w:val="clear"/>
              <w:spacing w:before="40" w:after="40" w:line="264" w:lineRule="auto"/>
              <w:jc w:val="center"/>
              <w:rPr>
                <w:rFonts w:ascii="Times New Roman" w:hAnsi="Times New Roman" w:eastAsia="仿宋_GB2312" w:cs="仿宋_GB2312"/>
                <w:color w:val="auto"/>
                <w:sz w:val="32"/>
                <w:szCs w:val="32"/>
                <w:highlight w:val="none"/>
              </w:rPr>
            </w:pPr>
          </w:p>
        </w:tc>
        <w:tc>
          <w:tcPr>
            <w:tcW w:w="2194" w:type="dxa"/>
            <w:vAlign w:val="center"/>
          </w:tcPr>
          <w:p w14:paraId="04FB4E30">
            <w:pPr>
              <w:shd w:val="clear"/>
              <w:spacing w:before="40" w:after="40" w:line="264" w:lineRule="auto"/>
              <w:rPr>
                <w:rFonts w:ascii="Times New Roman" w:hAnsi="Times New Roman" w:eastAsia="仿宋_GB2312" w:cs="仿宋_GB2312"/>
                <w:color w:val="auto"/>
                <w:sz w:val="32"/>
                <w:szCs w:val="32"/>
                <w:highlight w:val="none"/>
              </w:rPr>
            </w:pPr>
            <w:r>
              <w:rPr>
                <w:rStyle w:val="11"/>
                <w:rFonts w:hint="eastAsia" w:ascii="黑体" w:hAnsi="黑体" w:eastAsia="黑体" w:cs="黑体"/>
                <w:b w:val="0"/>
                <w:bCs w:val="0"/>
                <w:color w:val="auto"/>
                <w:sz w:val="32"/>
                <w:szCs w:val="32"/>
                <w:highlight w:val="none"/>
                <w:shd w:val="clear" w:color="auto" w:fill="FFFFFF"/>
              </w:rPr>
              <w:t>前沿孵化赛道</w:t>
            </w:r>
            <w:r>
              <w:rPr>
                <w:rStyle w:val="11"/>
                <w:rFonts w:hint="eastAsia" w:ascii="黑体" w:hAnsi="黑体" w:eastAsia="黑体" w:cs="黑体"/>
                <w:b w:val="0"/>
                <w:bCs w:val="0"/>
                <w:color w:val="auto"/>
                <w:sz w:val="32"/>
                <w:szCs w:val="32"/>
                <w:highlight w:val="none"/>
                <w:shd w:val="clear" w:color="auto" w:fill="FFFFFF"/>
                <w:lang w:eastAsia="zh-CN"/>
              </w:rPr>
              <w:t>－</w:t>
            </w:r>
            <w:r>
              <w:rPr>
                <w:rFonts w:hint="eastAsia" w:ascii="Times New Roman" w:hAnsi="Times New Roman" w:eastAsia="仿宋_GB2312" w:cs="仿宋_GB2312"/>
                <w:color w:val="auto"/>
                <w:sz w:val="32"/>
                <w:szCs w:val="32"/>
                <w:highlight w:val="none"/>
              </w:rPr>
              <w:t>孵化路径与发展规划</w:t>
            </w:r>
          </w:p>
        </w:tc>
        <w:tc>
          <w:tcPr>
            <w:tcW w:w="4399" w:type="dxa"/>
            <w:vAlign w:val="center"/>
          </w:tcPr>
          <w:p w14:paraId="37F34B06">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项目对后续技术完善、样机迭代、应用验证和成果孵化等路径有较清晰规划，阶段目标合理。</w:t>
            </w:r>
          </w:p>
        </w:tc>
      </w:tr>
      <w:tr w14:paraId="22B7B459">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c>
          <w:tcPr>
            <w:tcW w:w="1544" w:type="dxa"/>
            <w:vMerge w:val="continue"/>
            <w:vAlign w:val="center"/>
          </w:tcPr>
          <w:p w14:paraId="7A057F17">
            <w:pPr>
              <w:shd w:val="clear"/>
              <w:spacing w:before="40" w:after="40" w:line="264" w:lineRule="auto"/>
              <w:jc w:val="center"/>
              <w:rPr>
                <w:rFonts w:ascii="Times New Roman" w:hAnsi="Times New Roman" w:eastAsia="仿宋_GB2312" w:cs="仿宋_GB2312"/>
                <w:color w:val="auto"/>
                <w:sz w:val="32"/>
                <w:szCs w:val="32"/>
                <w:highlight w:val="none"/>
              </w:rPr>
            </w:pPr>
          </w:p>
        </w:tc>
        <w:tc>
          <w:tcPr>
            <w:tcW w:w="943" w:type="dxa"/>
            <w:vAlign w:val="center"/>
          </w:tcPr>
          <w:p w14:paraId="3FE98DC4">
            <w:pPr>
              <w:shd w:val="clear"/>
              <w:spacing w:before="40" w:after="40" w:line="264" w:lineRule="auto"/>
              <w:jc w:val="center"/>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10</w:t>
            </w:r>
          </w:p>
        </w:tc>
        <w:tc>
          <w:tcPr>
            <w:tcW w:w="2194" w:type="dxa"/>
            <w:vAlign w:val="center"/>
          </w:tcPr>
          <w:p w14:paraId="7DF06E24">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商业实现逻辑 </w:t>
            </w:r>
          </w:p>
        </w:tc>
        <w:tc>
          <w:tcPr>
            <w:tcW w:w="4399" w:type="dxa"/>
            <w:vAlign w:val="center"/>
          </w:tcPr>
          <w:p w14:paraId="0BBE6865">
            <w:pPr>
              <w:shd w:val="clear"/>
              <w:spacing w:before="40" w:after="40" w:line="264" w:lineRule="auto"/>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项目商业实现路径较明确，推广逻辑、资金使用和近、中、远期价值实现方式基本合理。</w:t>
            </w:r>
          </w:p>
        </w:tc>
      </w:tr>
    </w:tbl>
    <w:p w14:paraId="7C8E8302">
      <w:pPr>
        <w:widowControl/>
        <w:numPr>
          <w:ilvl w:val="0"/>
          <w:numId w:val="28"/>
        </w:numPr>
        <w:shd w:val="clear"/>
        <w:overflowPunct w:val="0"/>
        <w:autoSpaceDE/>
        <w:autoSpaceDN/>
        <w:spacing w:line="560" w:lineRule="exact"/>
        <w:ind w:firstLine="640" w:firstLineChars="200"/>
        <w:jc w:val="both"/>
        <w:rPr>
          <w:rFonts w:hint="eastAsia"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鼓励参赛团队在项目方案设计与展示中结合人工智能 OPC（One Person Company，一人公司）、数字员工协同、智能体辅助等新型创业组织形态进行创新表达。对能够较</w:t>
      </w:r>
      <w:r>
        <w:rPr>
          <w:rFonts w:hint="eastAsia" w:ascii="Times New Roman" w:hAnsi="Times New Roman" w:eastAsia="仿宋_GB2312" w:cs="仿宋_GB2312"/>
          <w:color w:val="auto"/>
          <w:kern w:val="2"/>
          <w:sz w:val="32"/>
          <w:szCs w:val="32"/>
          <w:highlight w:val="none"/>
          <w:lang w:eastAsia="zh-CN"/>
        </w:rPr>
        <w:t>好地</w:t>
      </w:r>
      <w:r>
        <w:rPr>
          <w:rFonts w:hint="eastAsia" w:ascii="Times New Roman" w:hAnsi="Times New Roman" w:eastAsia="仿宋_GB2312" w:cs="仿宋_GB2312"/>
          <w:color w:val="auto"/>
          <w:kern w:val="2"/>
          <w:sz w:val="32"/>
          <w:szCs w:val="32"/>
          <w:highlight w:val="none"/>
        </w:rPr>
        <w:t>体现相关组织方式创新性、实际支撑作用和示范价值的项目，在同等条件下可予以优先考虑。</w:t>
      </w:r>
    </w:p>
    <w:p w14:paraId="0244EB47">
      <w:pPr>
        <w:pStyle w:val="2"/>
        <w:numPr>
          <w:ilvl w:val="0"/>
          <w:numId w:val="1"/>
        </w:numPr>
        <w:shd w:val="clear"/>
        <w:bidi w:val="0"/>
        <w:rPr>
          <w:color w:val="auto"/>
          <w:highlight w:val="none"/>
          <w:lang w:val="en-US"/>
        </w:rPr>
      </w:pPr>
      <w:bookmarkStart w:id="15" w:name="_Toc28507"/>
      <w:bookmarkStart w:id="16" w:name="_Toc23698"/>
      <w:r>
        <w:rPr>
          <w:rFonts w:hint="eastAsia"/>
          <w:color w:val="auto"/>
          <w:highlight w:val="none"/>
          <w:lang w:val="en-US"/>
        </w:rPr>
        <w:t>评审规则</w:t>
      </w:r>
      <w:bookmarkEnd w:id="15"/>
      <w:bookmarkEnd w:id="16"/>
    </w:p>
    <w:p w14:paraId="2902A689">
      <w:pPr>
        <w:numPr>
          <w:ilvl w:val="0"/>
          <w:numId w:val="29"/>
        </w:numPr>
        <w:shd w:val="clear"/>
        <w:tabs>
          <w:tab w:val="left" w:pos="540"/>
          <w:tab w:val="left" w:pos="900"/>
        </w:tabs>
        <w:autoSpaceDE/>
        <w:autoSpaceDN/>
        <w:spacing w:line="560" w:lineRule="exact"/>
        <w:ind w:firstLine="640" w:firstLineChars="200"/>
        <w:jc w:val="both"/>
        <w:rPr>
          <w:rFonts w:ascii="Times New Roman" w:hAnsi="Times New Roman" w:eastAsia="楷体" w:cs="楷体"/>
          <w:color w:val="auto"/>
          <w:sz w:val="32"/>
          <w:szCs w:val="32"/>
          <w:highlight w:val="none"/>
        </w:rPr>
      </w:pPr>
      <w:r>
        <w:rPr>
          <w:rFonts w:hint="eastAsia" w:ascii="Times New Roman" w:hAnsi="Times New Roman" w:eastAsia="楷体" w:cs="楷体"/>
          <w:color w:val="auto"/>
          <w:sz w:val="32"/>
          <w:szCs w:val="32"/>
          <w:highlight w:val="none"/>
          <w:lang w:val="en-US"/>
        </w:rPr>
        <w:t>回避与协商一致原则</w:t>
      </w:r>
    </w:p>
    <w:p w14:paraId="65BBA1E6">
      <w:pPr>
        <w:widowControl/>
        <w:numPr>
          <w:ilvl w:val="0"/>
          <w:numId w:val="30"/>
        </w:numPr>
        <w:shd w:val="clear"/>
        <w:overflowPunct w:val="0"/>
        <w:autoSpaceDE/>
        <w:autoSpaceDN/>
        <w:spacing w:line="560" w:lineRule="exact"/>
        <w:ind w:left="0"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评委采用本校回避原则，不参评自己学校的参赛作品。</w:t>
      </w:r>
    </w:p>
    <w:p w14:paraId="6A3ED403">
      <w:pPr>
        <w:widowControl/>
        <w:numPr>
          <w:ilvl w:val="0"/>
          <w:numId w:val="30"/>
        </w:numPr>
        <w:shd w:val="clear"/>
        <w:overflowPunct w:val="0"/>
        <w:autoSpaceDE/>
        <w:autoSpaceDN/>
        <w:spacing w:line="560" w:lineRule="exact"/>
        <w:ind w:left="0"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评审期间</w:t>
      </w:r>
      <w:r>
        <w:rPr>
          <w:rFonts w:hint="eastAsia" w:ascii="Times New Roman" w:hAnsi="Times New Roman" w:eastAsia="仿宋_GB2312" w:cs="仿宋_GB2312"/>
          <w:color w:val="auto"/>
          <w:kern w:val="2"/>
          <w:sz w:val="32"/>
          <w:szCs w:val="32"/>
          <w:highlight w:val="none"/>
          <w:lang w:val="en-US"/>
        </w:rPr>
        <w:t>应</w:t>
      </w:r>
      <w:r>
        <w:rPr>
          <w:rFonts w:hint="eastAsia" w:ascii="Times New Roman" w:hAnsi="Times New Roman" w:eastAsia="仿宋_GB2312" w:cs="仿宋_GB2312"/>
          <w:color w:val="auto"/>
          <w:kern w:val="2"/>
          <w:sz w:val="32"/>
          <w:szCs w:val="32"/>
          <w:highlight w:val="none"/>
        </w:rPr>
        <w:t>关闭手机等通讯工具，不接受任何单位或个人的干预。</w:t>
      </w:r>
    </w:p>
    <w:p w14:paraId="075860AB">
      <w:pPr>
        <w:widowControl/>
        <w:numPr>
          <w:ilvl w:val="0"/>
          <w:numId w:val="30"/>
        </w:numPr>
        <w:shd w:val="clear"/>
        <w:overflowPunct w:val="0"/>
        <w:autoSpaceDE/>
        <w:autoSpaceDN/>
        <w:spacing w:line="560" w:lineRule="exact"/>
        <w:ind w:left="0"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评审采用协商一致的原则，评委意见无法一致时采用无记名投票方法决定结果。</w:t>
      </w:r>
    </w:p>
    <w:p w14:paraId="648130F9">
      <w:pPr>
        <w:numPr>
          <w:ilvl w:val="0"/>
          <w:numId w:val="29"/>
        </w:numPr>
        <w:shd w:val="clear"/>
        <w:tabs>
          <w:tab w:val="left" w:pos="540"/>
          <w:tab w:val="left" w:pos="900"/>
        </w:tabs>
        <w:autoSpaceDE/>
        <w:autoSpaceDN/>
        <w:spacing w:line="560" w:lineRule="exact"/>
        <w:ind w:firstLine="640" w:firstLineChars="200"/>
        <w:jc w:val="both"/>
        <w:rPr>
          <w:rFonts w:ascii="Times New Roman" w:hAnsi="Times New Roman" w:eastAsia="楷体" w:cs="楷体"/>
          <w:color w:val="auto"/>
          <w:sz w:val="32"/>
          <w:szCs w:val="32"/>
          <w:highlight w:val="none"/>
        </w:rPr>
      </w:pPr>
      <w:r>
        <w:rPr>
          <w:rFonts w:hint="eastAsia" w:ascii="Times New Roman" w:hAnsi="Times New Roman" w:eastAsia="楷体" w:cs="楷体"/>
          <w:color w:val="auto"/>
          <w:sz w:val="32"/>
          <w:szCs w:val="32"/>
          <w:highlight w:val="none"/>
          <w:lang w:val="en-US"/>
        </w:rPr>
        <w:t>学术诚信原则</w:t>
      </w:r>
    </w:p>
    <w:p w14:paraId="4B40AAC8">
      <w:pPr>
        <w:widowControl/>
        <w:numPr>
          <w:ilvl w:val="0"/>
          <w:numId w:val="31"/>
        </w:numPr>
        <w:shd w:val="clear"/>
        <w:overflowPunct w:val="0"/>
        <w:autoSpaceDE/>
        <w:autoSpaceDN/>
        <w:spacing w:line="560" w:lineRule="exact"/>
        <w:ind w:left="0"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同一学校同一主题作品不可连续参赛，如果有重大改进，请在初赛提交作品时标注往届获奖情况，并</w:t>
      </w:r>
      <w:r>
        <w:rPr>
          <w:rFonts w:hint="eastAsia" w:ascii="Times New Roman" w:hAnsi="Times New Roman" w:eastAsia="仿宋_GB2312" w:cs="仿宋_GB2312"/>
          <w:color w:val="auto"/>
          <w:kern w:val="2"/>
          <w:sz w:val="32"/>
          <w:szCs w:val="32"/>
          <w:highlight w:val="none"/>
          <w:lang w:val="en-US"/>
        </w:rPr>
        <w:t>单独</w:t>
      </w:r>
      <w:r>
        <w:rPr>
          <w:rFonts w:hint="eastAsia" w:ascii="Times New Roman" w:hAnsi="Times New Roman" w:eastAsia="仿宋_GB2312" w:cs="仿宋_GB2312"/>
          <w:color w:val="auto"/>
          <w:kern w:val="2"/>
          <w:sz w:val="32"/>
          <w:szCs w:val="32"/>
          <w:highlight w:val="none"/>
        </w:rPr>
        <w:t>提交《作品重大改进说明》</w:t>
      </w:r>
      <w:r>
        <w:rPr>
          <w:rFonts w:hint="eastAsia" w:ascii="Times New Roman" w:hAnsi="Times New Roman" w:eastAsia="仿宋_GB2312" w:cs="仿宋_GB2312"/>
          <w:color w:val="auto"/>
          <w:kern w:val="2"/>
          <w:sz w:val="32"/>
          <w:szCs w:val="32"/>
          <w:highlight w:val="none"/>
          <w:lang w:val="en-US"/>
        </w:rPr>
        <w:t>文档</w:t>
      </w:r>
      <w:r>
        <w:rPr>
          <w:rFonts w:hint="eastAsia" w:ascii="Times New Roman" w:hAnsi="Times New Roman" w:eastAsia="仿宋_GB2312" w:cs="仿宋_GB2312"/>
          <w:color w:val="auto"/>
          <w:kern w:val="2"/>
          <w:sz w:val="32"/>
          <w:szCs w:val="32"/>
          <w:highlight w:val="none"/>
        </w:rPr>
        <w:t>。</w:t>
      </w:r>
    </w:p>
    <w:p w14:paraId="0AE48AD5">
      <w:pPr>
        <w:widowControl/>
        <w:numPr>
          <w:ilvl w:val="0"/>
          <w:numId w:val="31"/>
        </w:numPr>
        <w:shd w:val="clear"/>
        <w:overflowPunct w:val="0"/>
        <w:autoSpaceDE/>
        <w:autoSpaceDN/>
        <w:spacing w:line="560" w:lineRule="exact"/>
        <w:ind w:left="0" w:firstLine="640" w:firstLineChars="20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竞赛根据往届参赛数据建立论文库并查重。论文重复率高且未提交《作品重大改进说明》，经专家鉴定为重复参赛或无实质创新、作品雷同或有抄袭行为的团队，将被取消参赛资格，并向参赛单位进行通报。</w:t>
      </w:r>
    </w:p>
    <w:p w14:paraId="7CAECE7D">
      <w:pPr>
        <w:numPr>
          <w:ilvl w:val="0"/>
          <w:numId w:val="29"/>
        </w:numPr>
        <w:shd w:val="clear"/>
        <w:tabs>
          <w:tab w:val="left" w:pos="540"/>
          <w:tab w:val="left" w:pos="900"/>
        </w:tabs>
        <w:autoSpaceDE/>
        <w:autoSpaceDN/>
        <w:spacing w:line="560" w:lineRule="exact"/>
        <w:ind w:firstLine="640" w:firstLineChars="200"/>
        <w:jc w:val="both"/>
        <w:rPr>
          <w:rFonts w:ascii="Times New Roman" w:hAnsi="Times New Roman" w:eastAsia="楷体" w:cs="楷体"/>
          <w:color w:val="auto"/>
          <w:sz w:val="32"/>
          <w:szCs w:val="32"/>
          <w:highlight w:val="none"/>
        </w:rPr>
      </w:pPr>
      <w:r>
        <w:rPr>
          <w:rFonts w:hint="eastAsia" w:ascii="Times New Roman" w:hAnsi="Times New Roman" w:eastAsia="楷体" w:cs="楷体"/>
          <w:color w:val="auto"/>
          <w:sz w:val="32"/>
          <w:szCs w:val="32"/>
          <w:highlight w:val="none"/>
        </w:rPr>
        <w:t>成绩公示与异议处理</w:t>
      </w:r>
    </w:p>
    <w:p w14:paraId="59348BB1">
      <w:pPr>
        <w:widowControl/>
        <w:numPr>
          <w:ilvl w:val="0"/>
          <w:numId w:val="32"/>
        </w:numPr>
        <w:shd w:val="clear"/>
        <w:overflowPunct w:val="0"/>
        <w:autoSpaceDE/>
        <w:autoSpaceDN/>
        <w:spacing w:line="560" w:lineRule="exact"/>
        <w:ind w:left="20" w:firstLine="64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为维护竞赛纪律，提倡良好的赛风，杜绝不公平竞争，特设立</w:t>
      </w:r>
      <w:r>
        <w:rPr>
          <w:rFonts w:hint="eastAsia" w:ascii="Times New Roman" w:hAnsi="Times New Roman" w:eastAsia="仿宋_GB2312" w:cs="仿宋_GB2312"/>
          <w:color w:val="auto"/>
          <w:kern w:val="2"/>
          <w:sz w:val="32"/>
          <w:szCs w:val="32"/>
          <w:highlight w:val="none"/>
          <w:lang w:val="en-US"/>
        </w:rPr>
        <w:t>为期十天的公示期</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竞赛成绩公示期内接受实名投诉或举报，并保护实名投诉人的合法权益。</w:t>
      </w:r>
    </w:p>
    <w:p w14:paraId="4FDFEFEC">
      <w:pPr>
        <w:widowControl/>
        <w:numPr>
          <w:ilvl w:val="0"/>
          <w:numId w:val="32"/>
        </w:numPr>
        <w:shd w:val="clear"/>
        <w:overflowPunct w:val="0"/>
        <w:autoSpaceDE/>
        <w:autoSpaceDN/>
        <w:spacing w:line="560" w:lineRule="exact"/>
        <w:ind w:left="20" w:firstLine="640"/>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参赛队如对评审结果存在异议，应于成绩公示之日起两个自然日内，向组委会提交由研究生培养单位主管部门盖章授权的书面</w:t>
      </w:r>
      <w:r>
        <w:rPr>
          <w:rFonts w:hint="eastAsia" w:ascii="Times New Roman" w:hAnsi="Times New Roman" w:eastAsia="仿宋_GB2312" w:cs="仿宋_GB2312"/>
          <w:color w:val="auto"/>
          <w:kern w:val="2"/>
          <w:sz w:val="32"/>
          <w:szCs w:val="32"/>
          <w:highlight w:val="none"/>
          <w:lang w:val="en-US"/>
        </w:rPr>
        <w:t>成绩</w:t>
      </w:r>
      <w:r>
        <w:rPr>
          <w:rFonts w:hint="eastAsia" w:ascii="Times New Roman" w:hAnsi="Times New Roman" w:eastAsia="仿宋_GB2312" w:cs="仿宋_GB2312"/>
          <w:color w:val="auto"/>
          <w:kern w:val="2"/>
          <w:sz w:val="32"/>
          <w:szCs w:val="32"/>
          <w:highlight w:val="none"/>
        </w:rPr>
        <w:t>复核申请。秘书处五个工作日内完成复核并书面答复。</w:t>
      </w:r>
    </w:p>
    <w:p w14:paraId="5D041CC8">
      <w:pPr>
        <w:pStyle w:val="2"/>
        <w:numPr>
          <w:ilvl w:val="0"/>
          <w:numId w:val="1"/>
        </w:numPr>
        <w:shd w:val="clear"/>
        <w:bidi w:val="0"/>
        <w:rPr>
          <w:color w:val="auto"/>
          <w:highlight w:val="none"/>
          <w:lang w:val="en-US"/>
        </w:rPr>
      </w:pPr>
      <w:bookmarkStart w:id="17" w:name="_Toc7775"/>
      <w:r>
        <w:rPr>
          <w:rFonts w:hint="eastAsia"/>
          <w:color w:val="auto"/>
          <w:highlight w:val="none"/>
          <w:lang w:val="en-US"/>
        </w:rPr>
        <w:t>奖项设置和奖励办法</w:t>
      </w:r>
      <w:bookmarkEnd w:id="17"/>
    </w:p>
    <w:p w14:paraId="01D0FBA7">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bookmarkStart w:id="18" w:name="_bookmark8"/>
      <w:bookmarkEnd w:id="18"/>
      <w:r>
        <w:rPr>
          <w:rFonts w:hint="eastAsia" w:ascii="Times New Roman" w:hAnsi="Times New Roman" w:eastAsia="仿宋_GB2312" w:cs="仿宋_GB2312"/>
          <w:color w:val="auto"/>
          <w:kern w:val="2"/>
          <w:sz w:val="32"/>
          <w:szCs w:val="32"/>
          <w:highlight w:val="none"/>
        </w:rPr>
        <w:t>商业计划书专项赛初赛设团队一等奖、二等奖、三等奖，优秀指导老师奖以及优秀组织单位。提交参赛作品不完整，不合规的，将直接淘汰不予评奖。</w:t>
      </w:r>
    </w:p>
    <w:p w14:paraId="4952E4B9">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商业</w:t>
      </w:r>
      <w:r>
        <w:rPr>
          <w:rFonts w:hint="eastAsia" w:ascii="Times New Roman" w:hAnsi="Times New Roman" w:eastAsia="仿宋_GB2312" w:cs="仿宋_GB2312"/>
          <w:color w:val="auto"/>
          <w:kern w:val="2"/>
          <w:sz w:val="32"/>
          <w:szCs w:val="32"/>
          <w:highlight w:val="none"/>
          <w:lang w:val="en-US"/>
        </w:rPr>
        <w:t>计划书专项赛</w:t>
      </w:r>
      <w:r>
        <w:rPr>
          <w:rFonts w:hint="eastAsia" w:ascii="Times New Roman" w:hAnsi="Times New Roman" w:eastAsia="仿宋_GB2312" w:cs="仿宋_GB2312"/>
          <w:color w:val="auto"/>
          <w:kern w:val="2"/>
          <w:sz w:val="32"/>
          <w:szCs w:val="32"/>
          <w:highlight w:val="none"/>
        </w:rPr>
        <w:t>晋级比例根据报名情况确定。</w:t>
      </w:r>
      <w:r>
        <w:rPr>
          <w:rFonts w:hint="eastAsia" w:ascii="Times New Roman" w:hAnsi="Times New Roman" w:eastAsia="仿宋_GB2312" w:cs="仿宋_GB2312"/>
          <w:color w:val="auto"/>
          <w:kern w:val="2"/>
          <w:sz w:val="32"/>
          <w:szCs w:val="32"/>
          <w:highlight w:val="none"/>
          <w:lang w:val="en-US"/>
        </w:rPr>
        <w:t>初赛成绩公布后，未获得初赛奖项的参赛团队，可通过官网下载成功参赛证明。</w:t>
      </w:r>
    </w:p>
    <w:p w14:paraId="0C1D69C0">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rPr>
        <w:t>全国总决赛中，商业计划书专项赛设团队一等奖、二等奖、</w:t>
      </w:r>
      <w:r>
        <w:rPr>
          <w:rFonts w:hint="eastAsia" w:ascii="Times New Roman" w:hAnsi="Times New Roman" w:eastAsia="仿宋_GB2312" w:cs="仿宋_GB2312"/>
          <w:color w:val="auto"/>
          <w:kern w:val="2"/>
          <w:sz w:val="32"/>
          <w:szCs w:val="32"/>
          <w:highlight w:val="none"/>
          <w:lang w:val="en-US"/>
        </w:rPr>
        <w:t>三等奖</w:t>
      </w:r>
      <w:r>
        <w:rPr>
          <w:rFonts w:hint="eastAsia" w:ascii="Times New Roman" w:hAnsi="Times New Roman" w:eastAsia="仿宋_GB2312" w:cs="仿宋_GB2312"/>
          <w:color w:val="auto"/>
          <w:kern w:val="2"/>
          <w:sz w:val="32"/>
          <w:szCs w:val="32"/>
          <w:highlight w:val="none"/>
        </w:rPr>
        <w:t>、优秀指导教师奖、优秀组织单位。</w:t>
      </w:r>
    </w:p>
    <w:p w14:paraId="5F6E9B60">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lang w:val="en-US"/>
        </w:rPr>
      </w:pPr>
      <w:r>
        <w:rPr>
          <w:rFonts w:hint="eastAsia" w:ascii="Times New Roman" w:hAnsi="Times New Roman" w:eastAsia="仿宋_GB2312" w:cs="仿宋_GB2312"/>
          <w:color w:val="auto"/>
          <w:kern w:val="2"/>
          <w:sz w:val="32"/>
          <w:szCs w:val="32"/>
          <w:highlight w:val="none"/>
        </w:rPr>
        <w:t>全国总决赛中，商业计划书团队一等奖、二等奖、</w:t>
      </w:r>
      <w:r>
        <w:rPr>
          <w:rFonts w:hint="eastAsia" w:ascii="Times New Roman" w:hAnsi="Times New Roman" w:eastAsia="仿宋_GB2312" w:cs="仿宋_GB2312"/>
          <w:color w:val="auto"/>
          <w:kern w:val="2"/>
          <w:sz w:val="32"/>
          <w:szCs w:val="32"/>
          <w:highlight w:val="none"/>
          <w:lang w:val="en-US"/>
        </w:rPr>
        <w:t>三等奖</w:t>
      </w:r>
      <w:r>
        <w:rPr>
          <w:rFonts w:hint="eastAsia" w:ascii="Times New Roman" w:hAnsi="Times New Roman" w:eastAsia="仿宋_GB2312" w:cs="仿宋_GB2312"/>
          <w:color w:val="auto"/>
          <w:kern w:val="2"/>
          <w:sz w:val="32"/>
          <w:szCs w:val="32"/>
          <w:highlight w:val="none"/>
        </w:rPr>
        <w:t>原则上分别按照进入决赛团队的</w:t>
      </w:r>
      <w:r>
        <w:rPr>
          <w:rFonts w:hint="eastAsia" w:ascii="Times New Roman" w:hAnsi="Times New Roman" w:eastAsia="仿宋_GB2312" w:cs="仿宋_GB2312"/>
          <w:color w:val="auto"/>
          <w:kern w:val="2"/>
          <w:sz w:val="32"/>
          <w:szCs w:val="32"/>
          <w:highlight w:val="none"/>
          <w:lang w:val="en-US"/>
        </w:rPr>
        <w:t>25</w:t>
      </w:r>
      <w:r>
        <w:rPr>
          <w:rFonts w:hint="eastAsia" w:ascii="Times New Roman" w:hAnsi="Times New Roman" w:eastAsia="仿宋_GB2312" w:cs="仿宋_GB2312"/>
          <w:color w:val="auto"/>
          <w:kern w:val="2"/>
          <w:sz w:val="32"/>
          <w:szCs w:val="32"/>
          <w:highlight w:val="none"/>
        </w:rPr>
        <w:t>%、</w:t>
      </w:r>
      <w:r>
        <w:rPr>
          <w:rFonts w:hint="eastAsia" w:ascii="Times New Roman" w:hAnsi="Times New Roman" w:eastAsia="仿宋_GB2312" w:cs="仿宋_GB2312"/>
          <w:color w:val="auto"/>
          <w:kern w:val="2"/>
          <w:sz w:val="32"/>
          <w:szCs w:val="32"/>
          <w:highlight w:val="none"/>
          <w:lang w:val="en-US"/>
        </w:rPr>
        <w:t>35%、40</w:t>
      </w:r>
      <w:r>
        <w:rPr>
          <w:rFonts w:hint="eastAsia" w:ascii="Times New Roman" w:hAnsi="Times New Roman" w:eastAsia="仿宋_GB2312" w:cs="仿宋_GB2312"/>
          <w:color w:val="auto"/>
          <w:kern w:val="2"/>
          <w:sz w:val="32"/>
          <w:szCs w:val="32"/>
          <w:highlight w:val="none"/>
        </w:rPr>
        <w:t>%的比例评奖。</w:t>
      </w:r>
    </w:p>
    <w:p w14:paraId="314BADA8">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初赛和决赛各个奖项均由组委会统一颁发荣誉证书。</w:t>
      </w:r>
    </w:p>
    <w:p w14:paraId="3F51E291">
      <w:pPr>
        <w:widowControl/>
        <w:numPr>
          <w:ilvl w:val="0"/>
          <w:numId w:val="33"/>
        </w:numPr>
        <w:shd w:val="clear"/>
        <w:overflowPunct w:val="0"/>
        <w:autoSpaceDE/>
        <w:autoSpaceDN/>
        <w:spacing w:line="560" w:lineRule="exact"/>
        <w:ind w:firstLine="640" w:firstLineChars="200"/>
        <w:jc w:val="both"/>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最佳团体奖，取参赛高校团体总分第一名，积分办法如下。</w:t>
      </w:r>
    </w:p>
    <w:p w14:paraId="436DBB07">
      <w:pPr>
        <w:widowControl/>
        <w:shd w:val="clear"/>
        <w:overflowPunct w:val="0"/>
        <w:autoSpaceDE/>
        <w:autoSpaceDN/>
        <w:spacing w:line="560" w:lineRule="exact"/>
        <w:jc w:val="center"/>
        <w:rPr>
          <w:rFonts w:ascii="Times New Roman" w:hAnsi="Times New Roman" w:eastAsia="小标宋" w:cs="小标宋"/>
          <w:color w:val="auto"/>
          <w:spacing w:val="-5"/>
          <w:sz w:val="36"/>
          <w:szCs w:val="36"/>
          <w:highlight w:val="none"/>
        </w:rPr>
      </w:pPr>
      <w:r>
        <w:rPr>
          <w:rFonts w:hint="eastAsia" w:ascii="Times New Roman" w:hAnsi="Times New Roman" w:eastAsia="小标宋" w:cs="小标宋"/>
          <w:color w:val="auto"/>
          <w:spacing w:val="-5"/>
          <w:sz w:val="36"/>
          <w:szCs w:val="36"/>
          <w:highlight w:val="none"/>
        </w:rPr>
        <w:t>中国研究生电子设计竞赛高校团体总分积分标准</w:t>
      </w:r>
    </w:p>
    <w:tbl>
      <w:tblPr>
        <w:tblStyle w:val="9"/>
        <w:tblpPr w:leftFromText="180" w:rightFromText="180" w:vertAnchor="text" w:horzAnchor="page" w:tblpX="1455" w:tblpY="38"/>
        <w:tblOverlap w:val="never"/>
        <w:tblW w:w="9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4"/>
        <w:gridCol w:w="3029"/>
      </w:tblGrid>
      <w:tr w14:paraId="053D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63ACDA07">
            <w:pPr>
              <w:widowControl/>
              <w:shd w:val="clear"/>
              <w:overflowPunct w:val="0"/>
              <w:autoSpaceDE/>
              <w:autoSpaceDN/>
              <w:spacing w:line="560" w:lineRule="exact"/>
              <w:ind w:firstLine="640" w:firstLineChars="200"/>
              <w:jc w:val="center"/>
              <w:textAlignment w:val="center"/>
              <w:rPr>
                <w:rFonts w:ascii="Times New Roman" w:hAnsi="Times New Roman" w:eastAsia="黑体" w:cs="黑体"/>
                <w:bCs/>
                <w:color w:val="auto"/>
                <w:sz w:val="32"/>
                <w:szCs w:val="32"/>
                <w:highlight w:val="none"/>
              </w:rPr>
            </w:pPr>
            <w:r>
              <w:rPr>
                <w:rFonts w:hint="eastAsia" w:ascii="Times New Roman" w:hAnsi="Times New Roman" w:eastAsia="黑体" w:cs="黑体"/>
                <w:bCs/>
                <w:color w:val="auto"/>
                <w:sz w:val="32"/>
                <w:szCs w:val="32"/>
                <w:highlight w:val="none"/>
                <w:lang w:bidi="ar"/>
              </w:rPr>
              <w:t>奖项</w:t>
            </w:r>
          </w:p>
        </w:tc>
        <w:tc>
          <w:tcPr>
            <w:tcW w:w="3029" w:type="dxa"/>
            <w:tcBorders>
              <w:tl2br w:val="nil"/>
              <w:tr2bl w:val="nil"/>
            </w:tcBorders>
            <w:shd w:val="clear" w:color="auto" w:fill="FFFFFF"/>
            <w:vAlign w:val="center"/>
          </w:tcPr>
          <w:p w14:paraId="79351A41">
            <w:pPr>
              <w:widowControl/>
              <w:shd w:val="clear"/>
              <w:overflowPunct w:val="0"/>
              <w:autoSpaceDE/>
              <w:autoSpaceDN/>
              <w:spacing w:line="560" w:lineRule="exact"/>
              <w:ind w:firstLine="640" w:firstLineChars="200"/>
              <w:jc w:val="center"/>
              <w:textAlignment w:val="center"/>
              <w:rPr>
                <w:rFonts w:ascii="Times New Roman" w:hAnsi="Times New Roman" w:eastAsia="黑体" w:cs="黑体"/>
                <w:bCs/>
                <w:color w:val="auto"/>
                <w:sz w:val="32"/>
                <w:szCs w:val="32"/>
                <w:highlight w:val="none"/>
              </w:rPr>
            </w:pPr>
            <w:r>
              <w:rPr>
                <w:rFonts w:hint="eastAsia" w:ascii="Times New Roman" w:hAnsi="Times New Roman" w:eastAsia="黑体" w:cs="黑体"/>
                <w:bCs/>
                <w:color w:val="auto"/>
                <w:sz w:val="32"/>
                <w:szCs w:val="32"/>
                <w:highlight w:val="none"/>
                <w:lang w:bidi="ar"/>
              </w:rPr>
              <w:t>分值</w:t>
            </w:r>
          </w:p>
        </w:tc>
      </w:tr>
      <w:tr w14:paraId="72B8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1383632A">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lang w:val="en-US"/>
              </w:rPr>
            </w:pPr>
            <w:r>
              <w:rPr>
                <w:rFonts w:hint="eastAsia" w:ascii="Times New Roman" w:hAnsi="Times New Roman" w:eastAsia="仿宋" w:cs="仿宋"/>
                <w:color w:val="auto"/>
                <w:sz w:val="32"/>
                <w:szCs w:val="32"/>
                <w:highlight w:val="none"/>
                <w:lang w:bidi="ar"/>
              </w:rPr>
              <w:t>“研电之星”</w:t>
            </w:r>
            <w:r>
              <w:rPr>
                <w:rFonts w:hint="eastAsia" w:ascii="Times New Roman" w:hAnsi="Times New Roman" w:eastAsia="仿宋" w:cs="仿宋"/>
                <w:color w:val="auto"/>
                <w:sz w:val="32"/>
                <w:szCs w:val="32"/>
                <w:highlight w:val="none"/>
                <w:lang w:val="en-US" w:bidi="ar"/>
              </w:rPr>
              <w:t>荣誉称号</w:t>
            </w:r>
          </w:p>
        </w:tc>
        <w:tc>
          <w:tcPr>
            <w:tcW w:w="3029" w:type="dxa"/>
            <w:tcBorders>
              <w:tl2br w:val="nil"/>
              <w:tr2bl w:val="nil"/>
            </w:tcBorders>
            <w:shd w:val="clear" w:color="auto" w:fill="FFFFFF"/>
            <w:vAlign w:val="center"/>
          </w:tcPr>
          <w:p w14:paraId="327FFA75">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一等奖基础上加6分</w:t>
            </w:r>
          </w:p>
        </w:tc>
      </w:tr>
      <w:tr w14:paraId="2DBF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1B505899">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技术</w:t>
            </w:r>
            <w:r>
              <w:rPr>
                <w:rFonts w:hint="eastAsia" w:ascii="Times New Roman" w:hAnsi="Times New Roman" w:eastAsia="仿宋" w:cs="仿宋"/>
                <w:color w:val="auto"/>
                <w:sz w:val="32"/>
                <w:szCs w:val="32"/>
                <w:highlight w:val="none"/>
                <w:lang w:val="en-US" w:bidi="ar"/>
              </w:rPr>
              <w:t>类</w:t>
            </w:r>
            <w:r>
              <w:rPr>
                <w:rFonts w:hint="eastAsia" w:ascii="Times New Roman" w:hAnsi="Times New Roman" w:eastAsia="仿宋" w:cs="仿宋"/>
                <w:color w:val="auto"/>
                <w:sz w:val="32"/>
                <w:szCs w:val="32"/>
                <w:highlight w:val="none"/>
                <w:lang w:bidi="ar"/>
              </w:rPr>
              <w:t>竞赛</w:t>
            </w:r>
            <w:r>
              <w:rPr>
                <w:rFonts w:hint="eastAsia" w:ascii="Times New Roman" w:hAnsi="Times New Roman" w:eastAsia="仿宋" w:cs="仿宋"/>
                <w:color w:val="auto"/>
                <w:sz w:val="32"/>
                <w:szCs w:val="32"/>
                <w:highlight w:val="none"/>
                <w:lang w:val="en-US" w:bidi="ar"/>
              </w:rPr>
              <w:t>全国团队</w:t>
            </w:r>
            <w:r>
              <w:rPr>
                <w:rFonts w:hint="eastAsia" w:ascii="Times New Roman" w:hAnsi="Times New Roman" w:eastAsia="仿宋" w:cs="仿宋"/>
                <w:color w:val="auto"/>
                <w:sz w:val="32"/>
                <w:szCs w:val="32"/>
                <w:highlight w:val="none"/>
                <w:lang w:bidi="ar"/>
              </w:rPr>
              <w:t>一等奖（应用赛道）</w:t>
            </w:r>
          </w:p>
        </w:tc>
        <w:tc>
          <w:tcPr>
            <w:tcW w:w="3029" w:type="dxa"/>
            <w:tcBorders>
              <w:tl2br w:val="nil"/>
              <w:tr2bl w:val="nil"/>
            </w:tcBorders>
            <w:shd w:val="clear" w:color="auto" w:fill="FFFFFF"/>
            <w:vAlign w:val="center"/>
          </w:tcPr>
          <w:p w14:paraId="7463A50B">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12分（</w:t>
            </w:r>
            <w:r>
              <w:rPr>
                <w:rFonts w:hint="eastAsia" w:ascii="Times New Roman" w:hAnsi="Times New Roman" w:eastAsia="仿宋" w:cs="仿宋"/>
                <w:color w:val="auto"/>
                <w:sz w:val="32"/>
                <w:szCs w:val="32"/>
                <w:highlight w:val="none"/>
                <w:lang w:val="en-US" w:bidi="ar"/>
              </w:rPr>
              <w:t>15分</w:t>
            </w:r>
            <w:r>
              <w:rPr>
                <w:rFonts w:hint="eastAsia" w:ascii="Times New Roman" w:hAnsi="Times New Roman" w:eastAsia="仿宋" w:cs="仿宋"/>
                <w:color w:val="auto"/>
                <w:sz w:val="32"/>
                <w:szCs w:val="32"/>
                <w:highlight w:val="none"/>
                <w:lang w:bidi="ar"/>
              </w:rPr>
              <w:t>）</w:t>
            </w:r>
          </w:p>
        </w:tc>
      </w:tr>
      <w:tr w14:paraId="4AAC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293AFB4F">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技术</w:t>
            </w:r>
            <w:r>
              <w:rPr>
                <w:rFonts w:hint="eastAsia" w:ascii="Times New Roman" w:hAnsi="Times New Roman" w:eastAsia="仿宋" w:cs="仿宋"/>
                <w:color w:val="auto"/>
                <w:sz w:val="32"/>
                <w:szCs w:val="32"/>
                <w:highlight w:val="none"/>
                <w:lang w:val="en-US" w:bidi="ar"/>
              </w:rPr>
              <w:t>类</w:t>
            </w:r>
            <w:r>
              <w:rPr>
                <w:rFonts w:hint="eastAsia" w:ascii="Times New Roman" w:hAnsi="Times New Roman" w:eastAsia="仿宋" w:cs="仿宋"/>
                <w:color w:val="auto"/>
                <w:sz w:val="32"/>
                <w:szCs w:val="32"/>
                <w:highlight w:val="none"/>
                <w:lang w:bidi="ar"/>
              </w:rPr>
              <w:t>竞赛</w:t>
            </w:r>
            <w:r>
              <w:rPr>
                <w:rFonts w:hint="eastAsia" w:ascii="Times New Roman" w:hAnsi="Times New Roman" w:eastAsia="仿宋" w:cs="仿宋"/>
                <w:color w:val="auto"/>
                <w:sz w:val="32"/>
                <w:szCs w:val="32"/>
                <w:highlight w:val="none"/>
                <w:lang w:val="en-US" w:bidi="ar"/>
              </w:rPr>
              <w:t>全国团队</w:t>
            </w:r>
            <w:r>
              <w:rPr>
                <w:rFonts w:hint="eastAsia" w:ascii="Times New Roman" w:hAnsi="Times New Roman" w:eastAsia="仿宋" w:cs="仿宋"/>
                <w:color w:val="auto"/>
                <w:sz w:val="32"/>
                <w:szCs w:val="32"/>
                <w:highlight w:val="none"/>
                <w:lang w:bidi="ar"/>
              </w:rPr>
              <w:t>二等奖（应用赛道）</w:t>
            </w:r>
          </w:p>
        </w:tc>
        <w:tc>
          <w:tcPr>
            <w:tcW w:w="3029" w:type="dxa"/>
            <w:tcBorders>
              <w:tl2br w:val="nil"/>
              <w:tr2bl w:val="nil"/>
            </w:tcBorders>
            <w:shd w:val="clear" w:color="auto" w:fill="FFFFFF"/>
            <w:vAlign w:val="center"/>
          </w:tcPr>
          <w:p w14:paraId="56C7D113">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6分（</w:t>
            </w:r>
            <w:r>
              <w:rPr>
                <w:rFonts w:hint="eastAsia" w:ascii="Times New Roman" w:hAnsi="Times New Roman" w:eastAsia="仿宋" w:cs="仿宋"/>
                <w:color w:val="auto"/>
                <w:sz w:val="32"/>
                <w:szCs w:val="32"/>
                <w:highlight w:val="none"/>
                <w:lang w:val="en-US" w:bidi="ar"/>
              </w:rPr>
              <w:t>8分</w:t>
            </w:r>
            <w:r>
              <w:rPr>
                <w:rFonts w:hint="eastAsia" w:ascii="Times New Roman" w:hAnsi="Times New Roman" w:eastAsia="仿宋" w:cs="仿宋"/>
                <w:color w:val="auto"/>
                <w:sz w:val="32"/>
                <w:szCs w:val="32"/>
                <w:highlight w:val="none"/>
                <w:lang w:bidi="ar"/>
              </w:rPr>
              <w:t>）</w:t>
            </w:r>
          </w:p>
        </w:tc>
      </w:tr>
      <w:tr w14:paraId="0B6F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5FAC1D53">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lang w:bidi="ar"/>
              </w:rPr>
            </w:pPr>
            <w:r>
              <w:rPr>
                <w:rFonts w:hint="eastAsia" w:ascii="Times New Roman" w:hAnsi="Times New Roman" w:eastAsia="仿宋" w:cs="仿宋"/>
                <w:color w:val="auto"/>
                <w:sz w:val="32"/>
                <w:szCs w:val="32"/>
                <w:highlight w:val="none"/>
                <w:lang w:bidi="ar"/>
              </w:rPr>
              <w:t>技术</w:t>
            </w:r>
            <w:r>
              <w:rPr>
                <w:rFonts w:hint="eastAsia" w:ascii="Times New Roman" w:hAnsi="Times New Roman" w:eastAsia="仿宋" w:cs="仿宋"/>
                <w:color w:val="auto"/>
                <w:sz w:val="32"/>
                <w:szCs w:val="32"/>
                <w:highlight w:val="none"/>
                <w:lang w:val="en-US" w:bidi="ar"/>
              </w:rPr>
              <w:t>类</w:t>
            </w:r>
            <w:r>
              <w:rPr>
                <w:rFonts w:hint="eastAsia" w:ascii="Times New Roman" w:hAnsi="Times New Roman" w:eastAsia="仿宋" w:cs="仿宋"/>
                <w:color w:val="auto"/>
                <w:sz w:val="32"/>
                <w:szCs w:val="32"/>
                <w:highlight w:val="none"/>
                <w:lang w:bidi="ar"/>
              </w:rPr>
              <w:t>竞赛</w:t>
            </w:r>
            <w:r>
              <w:rPr>
                <w:rFonts w:hint="eastAsia" w:ascii="Times New Roman" w:hAnsi="Times New Roman" w:eastAsia="仿宋" w:cs="仿宋"/>
                <w:color w:val="auto"/>
                <w:sz w:val="32"/>
                <w:szCs w:val="32"/>
                <w:highlight w:val="none"/>
                <w:lang w:val="en-US" w:bidi="ar"/>
              </w:rPr>
              <w:t>全国团队三</w:t>
            </w:r>
            <w:r>
              <w:rPr>
                <w:rFonts w:hint="eastAsia" w:ascii="Times New Roman" w:hAnsi="Times New Roman" w:eastAsia="仿宋" w:cs="仿宋"/>
                <w:color w:val="auto"/>
                <w:sz w:val="32"/>
                <w:szCs w:val="32"/>
                <w:highlight w:val="none"/>
                <w:lang w:bidi="ar"/>
              </w:rPr>
              <w:t>等奖（应用赛道）</w:t>
            </w:r>
          </w:p>
        </w:tc>
        <w:tc>
          <w:tcPr>
            <w:tcW w:w="3029" w:type="dxa"/>
            <w:tcBorders>
              <w:tl2br w:val="nil"/>
              <w:tr2bl w:val="nil"/>
            </w:tcBorders>
            <w:shd w:val="clear" w:color="auto" w:fill="FFFFFF"/>
            <w:vAlign w:val="center"/>
          </w:tcPr>
          <w:p w14:paraId="68EDF229">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lang w:val="en-US" w:bidi="ar"/>
              </w:rPr>
            </w:pPr>
            <w:r>
              <w:rPr>
                <w:rFonts w:hint="eastAsia" w:ascii="Times New Roman" w:hAnsi="Times New Roman" w:eastAsia="仿宋" w:cs="仿宋"/>
                <w:color w:val="auto"/>
                <w:sz w:val="32"/>
                <w:szCs w:val="32"/>
                <w:highlight w:val="none"/>
                <w:lang w:val="en-US" w:bidi="ar"/>
              </w:rPr>
              <w:t>2分（3分）</w:t>
            </w:r>
          </w:p>
        </w:tc>
      </w:tr>
      <w:tr w14:paraId="6E7F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6142CED1">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商业计划书</w:t>
            </w:r>
            <w:r>
              <w:rPr>
                <w:rFonts w:hint="eastAsia" w:ascii="Times New Roman" w:hAnsi="Times New Roman" w:eastAsia="仿宋" w:cs="仿宋"/>
                <w:color w:val="auto"/>
                <w:sz w:val="32"/>
                <w:szCs w:val="32"/>
                <w:highlight w:val="none"/>
                <w:lang w:val="en-US" w:bidi="ar"/>
              </w:rPr>
              <w:t>专项赛全国团队</w:t>
            </w:r>
            <w:r>
              <w:rPr>
                <w:rFonts w:hint="eastAsia" w:ascii="Times New Roman" w:hAnsi="Times New Roman" w:eastAsia="仿宋" w:cs="仿宋"/>
                <w:color w:val="auto"/>
                <w:sz w:val="32"/>
                <w:szCs w:val="32"/>
                <w:highlight w:val="none"/>
                <w:lang w:bidi="ar"/>
              </w:rPr>
              <w:t>一等奖</w:t>
            </w:r>
          </w:p>
        </w:tc>
        <w:tc>
          <w:tcPr>
            <w:tcW w:w="3029" w:type="dxa"/>
            <w:tcBorders>
              <w:tl2br w:val="nil"/>
              <w:tr2bl w:val="nil"/>
            </w:tcBorders>
            <w:shd w:val="clear" w:color="auto" w:fill="FFFFFF"/>
            <w:vAlign w:val="center"/>
          </w:tcPr>
          <w:p w14:paraId="5B051EE9">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8分</w:t>
            </w:r>
          </w:p>
        </w:tc>
      </w:tr>
      <w:tr w14:paraId="000D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354B8B3C">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商业计划书</w:t>
            </w:r>
            <w:r>
              <w:rPr>
                <w:rFonts w:hint="eastAsia" w:ascii="Times New Roman" w:hAnsi="Times New Roman" w:eastAsia="仿宋" w:cs="仿宋"/>
                <w:color w:val="auto"/>
                <w:sz w:val="32"/>
                <w:szCs w:val="32"/>
                <w:highlight w:val="none"/>
                <w:lang w:val="en-US" w:bidi="ar"/>
              </w:rPr>
              <w:t>专项赛全国团队</w:t>
            </w:r>
            <w:r>
              <w:rPr>
                <w:rFonts w:hint="eastAsia" w:ascii="Times New Roman" w:hAnsi="Times New Roman" w:eastAsia="仿宋" w:cs="仿宋"/>
                <w:color w:val="auto"/>
                <w:sz w:val="32"/>
                <w:szCs w:val="32"/>
                <w:highlight w:val="none"/>
                <w:lang w:bidi="ar"/>
              </w:rPr>
              <w:t>二等奖</w:t>
            </w:r>
          </w:p>
        </w:tc>
        <w:tc>
          <w:tcPr>
            <w:tcW w:w="3029" w:type="dxa"/>
            <w:tcBorders>
              <w:tl2br w:val="nil"/>
              <w:tr2bl w:val="nil"/>
            </w:tcBorders>
            <w:shd w:val="clear" w:color="auto" w:fill="FFFFFF"/>
            <w:vAlign w:val="center"/>
          </w:tcPr>
          <w:p w14:paraId="2E294375">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rPr>
            </w:pPr>
            <w:r>
              <w:rPr>
                <w:rFonts w:hint="eastAsia" w:ascii="Times New Roman" w:hAnsi="Times New Roman" w:eastAsia="仿宋" w:cs="仿宋"/>
                <w:color w:val="auto"/>
                <w:sz w:val="32"/>
                <w:szCs w:val="32"/>
                <w:highlight w:val="none"/>
                <w:lang w:bidi="ar"/>
              </w:rPr>
              <w:t>4分</w:t>
            </w:r>
          </w:p>
        </w:tc>
      </w:tr>
      <w:tr w14:paraId="3EF8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7" w:hRule="exact"/>
        </w:trPr>
        <w:tc>
          <w:tcPr>
            <w:tcW w:w="6364" w:type="dxa"/>
            <w:tcBorders>
              <w:tl2br w:val="nil"/>
              <w:tr2bl w:val="nil"/>
            </w:tcBorders>
            <w:shd w:val="clear" w:color="auto" w:fill="FFFFFF"/>
            <w:vAlign w:val="center"/>
          </w:tcPr>
          <w:p w14:paraId="257305D9">
            <w:pPr>
              <w:widowControl/>
              <w:shd w:val="clear"/>
              <w:overflowPunct w:val="0"/>
              <w:autoSpaceDE/>
              <w:autoSpaceDN/>
              <w:spacing w:line="560" w:lineRule="exact"/>
              <w:textAlignment w:val="center"/>
              <w:rPr>
                <w:rFonts w:ascii="Times New Roman" w:hAnsi="Times New Roman" w:eastAsia="仿宋" w:cs="仿宋"/>
                <w:color w:val="auto"/>
                <w:sz w:val="32"/>
                <w:szCs w:val="32"/>
                <w:highlight w:val="none"/>
                <w:lang w:val="en-US" w:bidi="ar"/>
              </w:rPr>
            </w:pPr>
            <w:r>
              <w:rPr>
                <w:rFonts w:hint="eastAsia" w:ascii="Times New Roman" w:hAnsi="Times New Roman" w:eastAsia="仿宋" w:cs="仿宋"/>
                <w:color w:val="auto"/>
                <w:sz w:val="32"/>
                <w:szCs w:val="32"/>
                <w:highlight w:val="none"/>
                <w:lang w:bidi="ar"/>
              </w:rPr>
              <w:t>商业计划书</w:t>
            </w:r>
            <w:r>
              <w:rPr>
                <w:rFonts w:hint="eastAsia" w:ascii="Times New Roman" w:hAnsi="Times New Roman" w:eastAsia="仿宋" w:cs="仿宋"/>
                <w:color w:val="auto"/>
                <w:sz w:val="32"/>
                <w:szCs w:val="32"/>
                <w:highlight w:val="none"/>
                <w:lang w:val="en-US" w:bidi="ar"/>
              </w:rPr>
              <w:t>专项赛全国团队三等奖</w:t>
            </w:r>
          </w:p>
        </w:tc>
        <w:tc>
          <w:tcPr>
            <w:tcW w:w="3029" w:type="dxa"/>
            <w:tcBorders>
              <w:tl2br w:val="nil"/>
              <w:tr2bl w:val="nil"/>
            </w:tcBorders>
            <w:shd w:val="clear" w:color="auto" w:fill="FFFFFF"/>
            <w:vAlign w:val="center"/>
          </w:tcPr>
          <w:p w14:paraId="48B410E0">
            <w:pPr>
              <w:widowControl/>
              <w:shd w:val="clear"/>
              <w:overflowPunct w:val="0"/>
              <w:autoSpaceDE/>
              <w:autoSpaceDN/>
              <w:spacing w:line="560" w:lineRule="exact"/>
              <w:jc w:val="center"/>
              <w:textAlignment w:val="center"/>
              <w:rPr>
                <w:rFonts w:ascii="Times New Roman" w:hAnsi="Times New Roman" w:eastAsia="仿宋" w:cs="仿宋"/>
                <w:color w:val="auto"/>
                <w:sz w:val="32"/>
                <w:szCs w:val="32"/>
                <w:highlight w:val="none"/>
                <w:lang w:val="en-US" w:bidi="ar"/>
              </w:rPr>
            </w:pPr>
            <w:r>
              <w:rPr>
                <w:rFonts w:hint="eastAsia" w:ascii="Times New Roman" w:hAnsi="Times New Roman" w:eastAsia="仿宋" w:cs="仿宋"/>
                <w:color w:val="auto"/>
                <w:sz w:val="32"/>
                <w:szCs w:val="32"/>
                <w:highlight w:val="none"/>
                <w:lang w:val="en-US" w:bidi="ar"/>
              </w:rPr>
              <w:t>1分</w:t>
            </w:r>
          </w:p>
        </w:tc>
      </w:tr>
    </w:tbl>
    <w:p w14:paraId="56D31E52">
      <w:pPr>
        <w:pStyle w:val="2"/>
        <w:pageBreakBefore w:val="0"/>
        <w:numPr>
          <w:ilvl w:val="0"/>
          <w:numId w:val="1"/>
        </w:numPr>
        <w:shd w:val="clear"/>
        <w:kinsoku/>
        <w:wordWrap/>
        <w:topLinePunct w:val="0"/>
        <w:bidi w:val="0"/>
        <w:adjustRightInd/>
        <w:snapToGrid/>
        <w:spacing w:beforeLines="0" w:afterLines="0"/>
        <w:ind w:left="0" w:leftChars="0" w:firstLine="640" w:firstLineChars="200"/>
        <w:textAlignment w:val="auto"/>
        <w:rPr>
          <w:rFonts w:ascii="Times New Roman" w:hAnsi="Times New Roman" w:eastAsia="黑体" w:cs="黑体"/>
          <w:color w:val="auto"/>
          <w:spacing w:val="-6"/>
          <w:sz w:val="32"/>
          <w:szCs w:val="32"/>
          <w:highlight w:val="none"/>
          <w:lang w:val="en-US"/>
        </w:rPr>
      </w:pPr>
      <w:bookmarkStart w:id="19" w:name="_Toc29241"/>
      <w:r>
        <w:rPr>
          <w:rStyle w:val="16"/>
          <w:rFonts w:hint="eastAsia"/>
          <w:color w:val="auto"/>
          <w:highlight w:val="none"/>
          <w:lang w:val="en-US"/>
        </w:rPr>
        <w:t>联系方式</w:t>
      </w:r>
      <w:bookmarkEnd w:id="19"/>
    </w:p>
    <w:p w14:paraId="7C3F0EB8">
      <w:pPr>
        <w:pageBreakBefore w:val="0"/>
        <w:widowControl/>
        <w:numPr>
          <w:ilvl w:val="0"/>
          <w:numId w:val="34"/>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中国电子学会</w:t>
      </w:r>
    </w:p>
    <w:p w14:paraId="1A24AE5E">
      <w:pPr>
        <w:pageBreakBefore w:val="0"/>
        <w:widowControl/>
        <w:numPr>
          <w:ilvl w:val="0"/>
          <w:numId w:val="35"/>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联系人：周老师</w:t>
      </w:r>
    </w:p>
    <w:p w14:paraId="0C421A01">
      <w:pPr>
        <w:pageBreakBefore w:val="0"/>
        <w:widowControl/>
        <w:numPr>
          <w:ilvl w:val="0"/>
          <w:numId w:val="35"/>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联系电话：400-885-0611</w:t>
      </w:r>
    </w:p>
    <w:p w14:paraId="5EEC4146">
      <w:pPr>
        <w:pageBreakBefore w:val="0"/>
        <w:widowControl/>
        <w:numPr>
          <w:ilvl w:val="0"/>
          <w:numId w:val="35"/>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电子邮箱：cieeda@163.com</w:t>
      </w:r>
    </w:p>
    <w:p w14:paraId="2890FB04">
      <w:pPr>
        <w:pageBreakBefore w:val="0"/>
        <w:widowControl/>
        <w:numPr>
          <w:ilvl w:val="0"/>
          <w:numId w:val="35"/>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官方微信/视频号：cieeda</w:t>
      </w:r>
    </w:p>
    <w:p w14:paraId="5CFA8119">
      <w:pPr>
        <w:pageBreakBefore w:val="0"/>
        <w:widowControl/>
        <w:numPr>
          <w:ilvl w:val="0"/>
          <w:numId w:val="34"/>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新微创源</w:t>
      </w:r>
    </w:p>
    <w:p w14:paraId="11378236">
      <w:pPr>
        <w:pageBreakBefore w:val="0"/>
        <w:widowControl/>
        <w:numPr>
          <w:ilvl w:val="0"/>
          <w:numId w:val="36"/>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kern w:val="2"/>
          <w:sz w:val="32"/>
          <w:szCs w:val="32"/>
          <w:highlight w:val="none"/>
        </w:rPr>
      </w:pPr>
      <w:r>
        <w:rPr>
          <w:rFonts w:hint="eastAsia" w:ascii="Times New Roman" w:hAnsi="Times New Roman" w:eastAsia="仿宋_GB2312" w:cs="仿宋_GB2312"/>
          <w:color w:val="auto"/>
          <w:kern w:val="2"/>
          <w:sz w:val="32"/>
          <w:szCs w:val="32"/>
          <w:highlight w:val="none"/>
        </w:rPr>
        <w:t>联系人：</w:t>
      </w:r>
      <w:r>
        <w:rPr>
          <w:rFonts w:hint="eastAsia" w:ascii="Times New Roman" w:hAnsi="Times New Roman" w:eastAsia="仿宋_GB2312" w:cs="仿宋_GB2312"/>
          <w:color w:val="auto"/>
          <w:kern w:val="2"/>
          <w:sz w:val="32"/>
          <w:szCs w:val="32"/>
          <w:highlight w:val="none"/>
          <w:lang w:eastAsia="zh-CN"/>
        </w:rPr>
        <w:t>李老师</w:t>
      </w:r>
      <w:r>
        <w:rPr>
          <w:rFonts w:hint="eastAsia" w:ascii="Times New Roman" w:hAnsi="Times New Roman" w:eastAsia="仿宋_GB2312" w:cs="仿宋_GB2312"/>
          <w:color w:val="auto"/>
          <w:kern w:val="2"/>
          <w:sz w:val="32"/>
          <w:szCs w:val="32"/>
          <w:highlight w:val="none"/>
          <w:lang w:val="en-US" w:eastAsia="zh-CN"/>
        </w:rPr>
        <w:t xml:space="preserve"> </w:t>
      </w:r>
    </w:p>
    <w:p w14:paraId="7CC75BC8">
      <w:pPr>
        <w:pageBreakBefore w:val="0"/>
        <w:widowControl/>
        <w:numPr>
          <w:ilvl w:val="0"/>
          <w:numId w:val="36"/>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kern w:val="2"/>
          <w:sz w:val="32"/>
          <w:szCs w:val="32"/>
          <w:highlight w:val="none"/>
        </w:rPr>
        <w:t>联系电话：17610626228</w:t>
      </w:r>
    </w:p>
    <w:p w14:paraId="7FBBDA92">
      <w:pPr>
        <w:pageBreakBefore w:val="0"/>
        <w:widowControl/>
        <w:numPr>
          <w:ilvl w:val="0"/>
          <w:numId w:val="36"/>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kern w:val="2"/>
          <w:sz w:val="32"/>
          <w:szCs w:val="32"/>
          <w:highlight w:val="none"/>
        </w:rPr>
        <w:t>电子邮箱</w:t>
      </w:r>
      <w:r>
        <w:rPr>
          <w:rFonts w:hint="eastAsia" w:ascii="Times New Roman" w:hAnsi="Times New Roman" w:eastAsia="仿宋_GB2312" w:cs="仿宋_GB2312"/>
          <w:color w:val="auto"/>
          <w:kern w:val="2"/>
          <w:sz w:val="32"/>
          <w:szCs w:val="32"/>
          <w:highlight w:val="none"/>
          <w:lang w:val="en-US"/>
        </w:rPr>
        <w:t>：</w:t>
      </w:r>
      <w:r>
        <w:rPr>
          <w:rFonts w:hint="eastAsia" w:ascii="Times New Roman" w:hAnsi="Times New Roman" w:eastAsia="仿宋_GB2312" w:cs="仿宋_GB2312"/>
          <w:color w:val="auto"/>
          <w:kern w:val="2"/>
          <w:sz w:val="32"/>
          <w:szCs w:val="32"/>
          <w:highlight w:val="none"/>
          <w:u w:val="none"/>
          <w:lang w:val="en-US"/>
        </w:rPr>
        <w:t>645776598@qq.com</w:t>
      </w:r>
    </w:p>
    <w:p w14:paraId="5ECA4A76">
      <w:pPr>
        <w:pageBreakBefore w:val="0"/>
        <w:widowControl/>
        <w:numPr>
          <w:ilvl w:val="0"/>
          <w:numId w:val="36"/>
        </w:numPr>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商业计划书专项赛QQ群</w:t>
      </w:r>
      <w:r>
        <w:rPr>
          <w:rFonts w:hint="eastAsia" w:ascii="Times New Roman" w:hAnsi="Times New Roman" w:eastAsia="仿宋_GB2312" w:cs="仿宋_GB2312"/>
          <w:color w:val="auto"/>
          <w:sz w:val="32"/>
          <w:szCs w:val="32"/>
          <w:highlight w:val="none"/>
          <w:lang w:val="en-US" w:eastAsia="zh-CN"/>
        </w:rPr>
        <w:t>：</w:t>
      </w:r>
      <w:r>
        <w:rPr>
          <w:rFonts w:hint="eastAsia" w:ascii="Times New Roman" w:hAnsi="Times New Roman" w:eastAsia="仿宋_GB2312" w:cs="仿宋_GB2312"/>
          <w:color w:val="auto"/>
          <w:sz w:val="32"/>
          <w:szCs w:val="32"/>
          <w:highlight w:val="none"/>
          <w:lang w:val="en-US"/>
        </w:rPr>
        <w:t>1078388872</w:t>
      </w:r>
    </w:p>
    <w:p w14:paraId="119780E3">
      <w:pPr>
        <w:pageBreakBefore w:val="0"/>
        <w:widowControl/>
        <w:shd w:val="clear"/>
        <w:kinsoku/>
        <w:wordWrap/>
        <w:overflowPunct w:val="0"/>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仿宋_GB2312"/>
          <w:color w:val="auto"/>
          <w:sz w:val="32"/>
          <w:szCs w:val="32"/>
          <w:highlight w:val="none"/>
          <w:lang w:val="en-US"/>
        </w:rPr>
      </w:pPr>
    </w:p>
    <w:p w14:paraId="1E32C129">
      <w:pPr>
        <w:pageBreakBefore w:val="0"/>
        <w:widowControl/>
        <w:shd w:val="clear"/>
        <w:kinsoku/>
        <w:wordWrap/>
        <w:overflowPunct w:val="0"/>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附件：</w:t>
      </w:r>
    </w:p>
    <w:p w14:paraId="7C384D24">
      <w:pPr>
        <w:pageBreakBefore w:val="0"/>
        <w:widowControl/>
        <w:shd w:val="clear"/>
        <w:kinsoku/>
        <w:wordWrap/>
        <w:overflowPunct w:val="0"/>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1.第二十一届研电赛技术类竞赛参赛说明</w:t>
      </w:r>
    </w:p>
    <w:p w14:paraId="16F465A0">
      <w:pPr>
        <w:pageBreakBefore w:val="0"/>
        <w:widowControl/>
        <w:shd w:val="clear"/>
        <w:kinsoku/>
        <w:wordWrap/>
        <w:overflowPunct w:val="0"/>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2.第二十一届研电赛商业计划书模板</w:t>
      </w:r>
    </w:p>
    <w:p w14:paraId="38EB753B">
      <w:pPr>
        <w:pageBreakBefore w:val="0"/>
        <w:widowControl/>
        <w:shd w:val="clear"/>
        <w:kinsoku/>
        <w:wordWrap/>
        <w:overflowPunct w:val="0"/>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3.第二十一届研电赛PPT模板</w:t>
      </w:r>
    </w:p>
    <w:p w14:paraId="3BFD2490">
      <w:pPr>
        <w:widowControl/>
        <w:shd w:val="clear"/>
        <w:overflowPunct w:val="0"/>
        <w:autoSpaceDE/>
        <w:autoSpaceDN/>
        <w:spacing w:line="560" w:lineRule="exact"/>
        <w:ind w:left="0" w:leftChars="0" w:firstLine="659" w:firstLineChars="206"/>
        <w:rPr>
          <w:rFonts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lang w:val="en-US"/>
        </w:rPr>
        <w:t>4.第二十一届研电赛</w:t>
      </w:r>
      <w:r>
        <w:rPr>
          <w:rFonts w:hint="eastAsia" w:ascii="Times New Roman" w:hAnsi="Times New Roman" w:eastAsia="仿宋_GB2312" w:cs="仿宋_GB2312"/>
          <w:color w:val="auto"/>
          <w:sz w:val="32"/>
          <w:szCs w:val="32"/>
          <w:highlight w:val="none"/>
          <w:lang w:val="en-US" w:eastAsia="zh-CN"/>
        </w:rPr>
        <w:t>“门型展架”</w:t>
      </w:r>
      <w:r>
        <w:rPr>
          <w:rFonts w:hint="eastAsia" w:ascii="Times New Roman" w:hAnsi="Times New Roman" w:eastAsia="仿宋_GB2312" w:cs="仿宋_GB2312"/>
          <w:color w:val="auto"/>
          <w:sz w:val="32"/>
          <w:szCs w:val="32"/>
          <w:highlight w:val="none"/>
          <w:lang w:val="en-US"/>
        </w:rPr>
        <w:t>模板</w:t>
      </w:r>
    </w:p>
    <w:p w14:paraId="69A301D7">
      <w:pPr>
        <w:widowControl/>
        <w:shd w:val="clear"/>
        <w:overflowPunct w:val="0"/>
        <w:autoSpaceDE/>
        <w:autoSpaceDN/>
        <w:spacing w:line="560" w:lineRule="exact"/>
        <w:ind w:firstLine="3520" w:firstLineChars="1100"/>
        <w:jc w:val="center"/>
        <w:rPr>
          <w:rFonts w:ascii="Times New Roman" w:hAnsi="Times New Roman" w:eastAsia="仿宋_GB2312" w:cs="仿宋_GB2312"/>
          <w:color w:val="auto"/>
          <w:sz w:val="32"/>
          <w:szCs w:val="32"/>
          <w:highlight w:val="none"/>
          <w:lang w:val="en-US"/>
        </w:rPr>
      </w:pPr>
    </w:p>
    <w:p w14:paraId="2D8A9203">
      <w:pPr>
        <w:widowControl/>
        <w:shd w:val="clear"/>
        <w:spacing w:line="560" w:lineRule="exact"/>
        <w:ind w:firstLine="3520" w:firstLineChars="1100"/>
        <w:jc w:val="center"/>
        <w:rPr>
          <w:rFonts w:ascii="Times New Roman" w:hAnsi="Times New Roman" w:eastAsia="仿宋" w:cs="仿宋"/>
          <w:color w:val="auto"/>
          <w:sz w:val="32"/>
          <w:szCs w:val="32"/>
          <w:highlight w:val="none"/>
          <w:lang w:val="en-US"/>
        </w:rPr>
      </w:pPr>
      <w:bookmarkStart w:id="20" w:name="_bookmark9"/>
      <w:bookmarkEnd w:id="20"/>
      <w:r>
        <w:rPr>
          <w:rFonts w:hint="eastAsia" w:ascii="Times New Roman" w:hAnsi="Times New Roman" w:eastAsia="仿宋" w:cs="仿宋"/>
          <w:color w:val="auto"/>
          <w:sz w:val="32"/>
          <w:szCs w:val="32"/>
          <w:highlight w:val="none"/>
          <w:lang w:val="en-US"/>
        </w:rPr>
        <w:t>中国研究生电子设计竞赛组委会</w:t>
      </w:r>
    </w:p>
    <w:p w14:paraId="38104F10">
      <w:pPr>
        <w:widowControl/>
        <w:shd w:val="clear"/>
        <w:spacing w:line="560" w:lineRule="exact"/>
        <w:ind w:firstLine="3520" w:firstLineChars="1100"/>
        <w:jc w:val="center"/>
        <w:rPr>
          <w:rFonts w:ascii="Times New Roman" w:hAnsi="Times New Roman" w:eastAsia="仿宋" w:cs="仿宋"/>
          <w:color w:val="auto"/>
          <w:sz w:val="32"/>
          <w:szCs w:val="32"/>
          <w:highlight w:val="none"/>
          <w:lang w:val="en-US"/>
        </w:rPr>
      </w:pPr>
      <w:r>
        <w:rPr>
          <w:rFonts w:hint="eastAsia" w:ascii="Times New Roman" w:hAnsi="Times New Roman" w:eastAsia="仿宋" w:cs="仿宋"/>
          <w:color w:val="auto"/>
          <w:sz w:val="32"/>
          <w:szCs w:val="32"/>
          <w:highlight w:val="none"/>
          <w:lang w:val="en-US"/>
        </w:rPr>
        <w:t>2026年3月</w:t>
      </w:r>
      <w:r>
        <w:rPr>
          <w:rFonts w:hint="eastAsia" w:ascii="Times New Roman" w:hAnsi="Times New Roman" w:eastAsia="仿宋" w:cs="仿宋"/>
          <w:color w:val="auto"/>
          <w:sz w:val="32"/>
          <w:szCs w:val="32"/>
          <w:highlight w:val="none"/>
          <w:lang w:val="en-US" w:eastAsia="zh-CN"/>
        </w:rPr>
        <w:t>2</w:t>
      </w:r>
      <w:r>
        <w:rPr>
          <w:rFonts w:hint="eastAsia" w:ascii="Times New Roman" w:hAnsi="Times New Roman" w:eastAsia="仿宋" w:cs="仿宋"/>
          <w:color w:val="auto"/>
          <w:sz w:val="32"/>
          <w:szCs w:val="32"/>
          <w:highlight w:val="none"/>
          <w:lang w:val="en-US"/>
        </w:rPr>
        <w:t>5日</w:t>
      </w:r>
    </w:p>
    <w:p w14:paraId="64B5E7B6">
      <w:pPr>
        <w:shd w:val="clear"/>
        <w:ind w:firstLine="2420" w:firstLineChars="1100"/>
        <w:jc w:val="center"/>
        <w:rPr>
          <w:rFonts w:ascii="Times New Roman" w:hAnsi="Times New Roman"/>
          <w:color w:val="auto"/>
          <w:highlight w:val="none"/>
        </w:rPr>
      </w:pPr>
    </w:p>
    <w:sectPr>
      <w:footerReference r:id="rId3" w:type="default"/>
      <w:pgSz w:w="11910" w:h="16840"/>
      <w:pgMar w:top="1383" w:right="1080" w:bottom="1440" w:left="1740" w:header="0" w:footer="94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D0C61">
    <w:pPr>
      <w:pStyle w:val="6"/>
      <w:spacing w:line="14" w:lineRule="auto"/>
      <w:ind w:left="0"/>
      <w:rPr>
        <w:rFonts w:hint="eastAsia"/>
        <w:sz w:val="15"/>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9920605</wp:posOffset>
              </wp:positionV>
              <wp:extent cx="167005" cy="1524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w="9525">
                        <a:noFill/>
                      </a:ln>
                    </wps:spPr>
                    <wps:txbx>
                      <w:txbxContent>
                        <w:p w14:paraId="4EE423F2">
                          <w:pPr>
                            <w:spacing w:before="12"/>
                            <w:rPr>
                              <w:rFonts w:hint="eastAsia" w:ascii="Times New Roman"/>
                              <w:sz w:val="18"/>
                            </w:rPr>
                          </w:pPr>
                        </w:p>
                      </w:txbxContent>
                    </wps:txbx>
                    <wps:bodyPr lIns="0" tIns="0" rIns="0" bIns="0" upright="1"/>
                  </wps:wsp>
                </a:graphicData>
              </a:graphic>
            </wp:anchor>
          </w:drawing>
        </mc:Choice>
        <mc:Fallback>
          <w:pict>
            <v:shape id="文本框 1" o:spid="_x0000_s1026" o:spt="202" type="#_x0000_t202" style="position:absolute;left:0pt;margin-top:781.1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D1K2bVAAAACQEAAA8AAAAAAAAAAQAgAAAAIgAAAGRycy9kb3ducmV2Lnht&#10;bFBLAQIUABQAAAAIAIdO4kC0AP/ewwEAAHoDAAAOAAAAAAAAAAEAIAAAACQBAABkcnMvZTJvRG9j&#10;LnhtbFBLBQYAAAAABgAGAFkBAABZBQAAAAA=&#10;">
              <v:fill on="f" focussize="0,0"/>
              <v:stroke on="f"/>
              <v:imagedata o:title=""/>
              <o:lock v:ext="edit" aspectratio="f"/>
              <v:textbox inset="0mm,0mm,0mm,0mm">
                <w:txbxContent>
                  <w:p w14:paraId="4EE423F2">
                    <w:pPr>
                      <w:spacing w:before="12"/>
                      <w:rPr>
                        <w:rFonts w:hint="eastAsia" w:ascii="Times New Roman"/>
                        <w:sz w:val="1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AE9695"/>
    <w:multiLevelType w:val="singleLevel"/>
    <w:tmpl w:val="8AAE9695"/>
    <w:lvl w:ilvl="0" w:tentative="0">
      <w:start w:val="1"/>
      <w:numFmt w:val="decimal"/>
      <w:suff w:val="space"/>
      <w:lvlText w:val="%1)"/>
      <w:lvlJc w:val="left"/>
      <w:pPr>
        <w:ind w:left="425" w:hanging="425"/>
      </w:pPr>
      <w:rPr>
        <w:rFonts w:hint="default"/>
      </w:rPr>
    </w:lvl>
  </w:abstractNum>
  <w:abstractNum w:abstractNumId="1">
    <w:nsid w:val="8B2D56A8"/>
    <w:multiLevelType w:val="singleLevel"/>
    <w:tmpl w:val="8B2D56A8"/>
    <w:lvl w:ilvl="0" w:tentative="0">
      <w:start w:val="1"/>
      <w:numFmt w:val="chineseCounting"/>
      <w:suff w:val="nothing"/>
      <w:lvlText w:val="（%1）"/>
      <w:lvlJc w:val="left"/>
      <w:pPr>
        <w:ind w:left="0" w:firstLine="420"/>
      </w:pPr>
      <w:rPr>
        <w:rFonts w:hint="eastAsia"/>
      </w:rPr>
    </w:lvl>
  </w:abstractNum>
  <w:abstractNum w:abstractNumId="2">
    <w:nsid w:val="8EBFAF8C"/>
    <w:multiLevelType w:val="singleLevel"/>
    <w:tmpl w:val="8EBFAF8C"/>
    <w:lvl w:ilvl="0" w:tentative="0">
      <w:start w:val="1"/>
      <w:numFmt w:val="decimal"/>
      <w:suff w:val="space"/>
      <w:lvlText w:val="%1)"/>
      <w:lvlJc w:val="left"/>
      <w:pPr>
        <w:ind w:left="425" w:hanging="425"/>
      </w:pPr>
      <w:rPr>
        <w:rFonts w:hint="default"/>
      </w:rPr>
    </w:lvl>
  </w:abstractNum>
  <w:abstractNum w:abstractNumId="3">
    <w:nsid w:val="AA01A2A0"/>
    <w:multiLevelType w:val="singleLevel"/>
    <w:tmpl w:val="AA01A2A0"/>
    <w:lvl w:ilvl="0" w:tentative="0">
      <w:start w:val="1"/>
      <w:numFmt w:val="decimal"/>
      <w:suff w:val="space"/>
      <w:lvlText w:val="%1."/>
      <w:lvlJc w:val="left"/>
      <w:pPr>
        <w:ind w:left="425" w:hanging="425"/>
      </w:pPr>
      <w:rPr>
        <w:rFonts w:hint="default"/>
      </w:rPr>
    </w:lvl>
  </w:abstractNum>
  <w:abstractNum w:abstractNumId="4">
    <w:nsid w:val="AB76D275"/>
    <w:multiLevelType w:val="singleLevel"/>
    <w:tmpl w:val="AB76D275"/>
    <w:lvl w:ilvl="0" w:tentative="0">
      <w:start w:val="1"/>
      <w:numFmt w:val="chineseCounting"/>
      <w:suff w:val="nothing"/>
      <w:lvlText w:val="（%1）"/>
      <w:lvlJc w:val="left"/>
      <w:pPr>
        <w:ind w:left="0" w:firstLine="420"/>
      </w:pPr>
      <w:rPr>
        <w:rFonts w:hint="eastAsia"/>
      </w:rPr>
    </w:lvl>
  </w:abstractNum>
  <w:abstractNum w:abstractNumId="5">
    <w:nsid w:val="B01ABA1F"/>
    <w:multiLevelType w:val="singleLevel"/>
    <w:tmpl w:val="B01ABA1F"/>
    <w:lvl w:ilvl="0" w:tentative="0">
      <w:start w:val="1"/>
      <w:numFmt w:val="decimal"/>
      <w:suff w:val="space"/>
      <w:lvlText w:val="(%1)"/>
      <w:lvlJc w:val="left"/>
      <w:pPr>
        <w:ind w:left="425" w:hanging="425"/>
      </w:pPr>
      <w:rPr>
        <w:rFonts w:hint="default"/>
      </w:rPr>
    </w:lvl>
  </w:abstractNum>
  <w:abstractNum w:abstractNumId="6">
    <w:nsid w:val="B146EF07"/>
    <w:multiLevelType w:val="singleLevel"/>
    <w:tmpl w:val="B146EF07"/>
    <w:lvl w:ilvl="0" w:tentative="0">
      <w:start w:val="1"/>
      <w:numFmt w:val="decimal"/>
      <w:suff w:val="space"/>
      <w:lvlText w:val="%1."/>
      <w:lvlJc w:val="left"/>
      <w:pPr>
        <w:ind w:left="425" w:hanging="425"/>
      </w:pPr>
      <w:rPr>
        <w:rFonts w:hint="default"/>
      </w:rPr>
    </w:lvl>
  </w:abstractNum>
  <w:abstractNum w:abstractNumId="7">
    <w:nsid w:val="B79D31D2"/>
    <w:multiLevelType w:val="singleLevel"/>
    <w:tmpl w:val="B79D31D2"/>
    <w:lvl w:ilvl="0" w:tentative="0">
      <w:start w:val="1"/>
      <w:numFmt w:val="decimal"/>
      <w:suff w:val="space"/>
      <w:lvlText w:val="(%1)"/>
      <w:lvlJc w:val="left"/>
      <w:pPr>
        <w:ind w:left="425" w:hanging="425"/>
      </w:pPr>
      <w:rPr>
        <w:rFonts w:hint="default"/>
      </w:rPr>
    </w:lvl>
  </w:abstractNum>
  <w:abstractNum w:abstractNumId="8">
    <w:nsid w:val="BA45E7E7"/>
    <w:multiLevelType w:val="singleLevel"/>
    <w:tmpl w:val="BA45E7E7"/>
    <w:lvl w:ilvl="0" w:tentative="0">
      <w:start w:val="1"/>
      <w:numFmt w:val="chineseCounting"/>
      <w:suff w:val="nothing"/>
      <w:lvlText w:val="%1、"/>
      <w:lvlJc w:val="left"/>
      <w:pPr>
        <w:ind w:left="20" w:firstLine="420"/>
      </w:pPr>
      <w:rPr>
        <w:rFonts w:hint="eastAsia" w:ascii="黑体" w:hAnsi="黑体" w:eastAsia="黑体" w:cs="黑体"/>
      </w:rPr>
    </w:lvl>
  </w:abstractNum>
  <w:abstractNum w:abstractNumId="9">
    <w:nsid w:val="C0E55B36"/>
    <w:multiLevelType w:val="singleLevel"/>
    <w:tmpl w:val="C0E55B36"/>
    <w:lvl w:ilvl="0" w:tentative="0">
      <w:start w:val="1"/>
      <w:numFmt w:val="decimal"/>
      <w:suff w:val="space"/>
      <w:lvlText w:val="%1."/>
      <w:lvlJc w:val="left"/>
      <w:pPr>
        <w:ind w:left="425" w:hanging="425"/>
      </w:pPr>
      <w:rPr>
        <w:rFonts w:hint="default"/>
      </w:rPr>
    </w:lvl>
  </w:abstractNum>
  <w:abstractNum w:abstractNumId="10">
    <w:nsid w:val="C2A41318"/>
    <w:multiLevelType w:val="singleLevel"/>
    <w:tmpl w:val="C2A41318"/>
    <w:lvl w:ilvl="0" w:tentative="0">
      <w:start w:val="1"/>
      <w:numFmt w:val="chineseCounting"/>
      <w:suff w:val="nothing"/>
      <w:lvlText w:val="（%1）"/>
      <w:lvlJc w:val="left"/>
      <w:pPr>
        <w:ind w:left="0" w:firstLine="420"/>
      </w:pPr>
      <w:rPr>
        <w:rFonts w:hint="eastAsia"/>
      </w:rPr>
    </w:lvl>
  </w:abstractNum>
  <w:abstractNum w:abstractNumId="11">
    <w:nsid w:val="C2E2C792"/>
    <w:multiLevelType w:val="singleLevel"/>
    <w:tmpl w:val="C2E2C792"/>
    <w:lvl w:ilvl="0" w:tentative="0">
      <w:start w:val="1"/>
      <w:numFmt w:val="decimal"/>
      <w:suff w:val="space"/>
      <w:lvlText w:val="%1."/>
      <w:lvlJc w:val="left"/>
      <w:pPr>
        <w:ind w:left="425" w:hanging="425"/>
      </w:pPr>
      <w:rPr>
        <w:rFonts w:hint="default"/>
      </w:rPr>
    </w:lvl>
  </w:abstractNum>
  <w:abstractNum w:abstractNumId="12">
    <w:nsid w:val="CAD1AC18"/>
    <w:multiLevelType w:val="singleLevel"/>
    <w:tmpl w:val="CAD1AC18"/>
    <w:lvl w:ilvl="0" w:tentative="0">
      <w:start w:val="1"/>
      <w:numFmt w:val="chineseCounting"/>
      <w:suff w:val="nothing"/>
      <w:lvlText w:val="（%1）"/>
      <w:lvlJc w:val="left"/>
      <w:pPr>
        <w:ind w:left="0" w:firstLine="420"/>
      </w:pPr>
      <w:rPr>
        <w:rFonts w:hint="eastAsia"/>
      </w:rPr>
    </w:lvl>
  </w:abstractNum>
  <w:abstractNum w:abstractNumId="13">
    <w:nsid w:val="DC0BBCC0"/>
    <w:multiLevelType w:val="singleLevel"/>
    <w:tmpl w:val="DC0BBCC0"/>
    <w:lvl w:ilvl="0" w:tentative="0">
      <w:start w:val="1"/>
      <w:numFmt w:val="decimal"/>
      <w:suff w:val="space"/>
      <w:lvlText w:val="%1."/>
      <w:lvlJc w:val="left"/>
      <w:pPr>
        <w:ind w:left="425" w:hanging="425"/>
      </w:pPr>
      <w:rPr>
        <w:rFonts w:hint="default" w:ascii="Times New Roman" w:hAnsi="Times New Roman" w:eastAsia="楷体" w:cs="Times New Roman"/>
      </w:rPr>
    </w:lvl>
  </w:abstractNum>
  <w:abstractNum w:abstractNumId="14">
    <w:nsid w:val="E65F9E39"/>
    <w:multiLevelType w:val="singleLevel"/>
    <w:tmpl w:val="E65F9E39"/>
    <w:lvl w:ilvl="0" w:tentative="0">
      <w:start w:val="1"/>
      <w:numFmt w:val="decimal"/>
      <w:suff w:val="space"/>
      <w:lvlText w:val="(%1)"/>
      <w:lvlJc w:val="left"/>
      <w:pPr>
        <w:ind w:left="425" w:hanging="425"/>
      </w:pPr>
      <w:rPr>
        <w:rFonts w:hint="default"/>
      </w:rPr>
    </w:lvl>
  </w:abstractNum>
  <w:abstractNum w:abstractNumId="15">
    <w:nsid w:val="F0CA980C"/>
    <w:multiLevelType w:val="singleLevel"/>
    <w:tmpl w:val="F0CA980C"/>
    <w:lvl w:ilvl="0" w:tentative="0">
      <w:start w:val="1"/>
      <w:numFmt w:val="decimal"/>
      <w:suff w:val="space"/>
      <w:lvlText w:val="%1)"/>
      <w:lvlJc w:val="left"/>
      <w:pPr>
        <w:ind w:left="425" w:hanging="425"/>
      </w:pPr>
      <w:rPr>
        <w:rFonts w:hint="default"/>
      </w:rPr>
    </w:lvl>
  </w:abstractNum>
  <w:abstractNum w:abstractNumId="16">
    <w:nsid w:val="F6197106"/>
    <w:multiLevelType w:val="singleLevel"/>
    <w:tmpl w:val="F6197106"/>
    <w:lvl w:ilvl="0" w:tentative="0">
      <w:start w:val="1"/>
      <w:numFmt w:val="decimal"/>
      <w:suff w:val="space"/>
      <w:lvlText w:val="(%1)"/>
      <w:lvlJc w:val="left"/>
      <w:pPr>
        <w:ind w:left="425" w:hanging="425"/>
      </w:pPr>
      <w:rPr>
        <w:rFonts w:hint="default"/>
      </w:rPr>
    </w:lvl>
  </w:abstractNum>
  <w:abstractNum w:abstractNumId="17">
    <w:nsid w:val="F897E0E4"/>
    <w:multiLevelType w:val="singleLevel"/>
    <w:tmpl w:val="F897E0E4"/>
    <w:lvl w:ilvl="0" w:tentative="0">
      <w:start w:val="1"/>
      <w:numFmt w:val="decimal"/>
      <w:suff w:val="space"/>
      <w:lvlText w:val="%1."/>
      <w:lvlJc w:val="left"/>
      <w:pPr>
        <w:ind w:left="425" w:hanging="425"/>
      </w:pPr>
      <w:rPr>
        <w:rFonts w:hint="default"/>
      </w:rPr>
    </w:lvl>
  </w:abstractNum>
  <w:abstractNum w:abstractNumId="18">
    <w:nsid w:val="01DAE16D"/>
    <w:multiLevelType w:val="singleLevel"/>
    <w:tmpl w:val="01DAE16D"/>
    <w:lvl w:ilvl="0" w:tentative="0">
      <w:start w:val="1"/>
      <w:numFmt w:val="decimal"/>
      <w:suff w:val="space"/>
      <w:lvlText w:val="%1."/>
      <w:lvlJc w:val="left"/>
      <w:pPr>
        <w:ind w:left="445" w:hanging="425"/>
      </w:pPr>
      <w:rPr>
        <w:rFonts w:hint="default"/>
      </w:rPr>
    </w:lvl>
  </w:abstractNum>
  <w:abstractNum w:abstractNumId="19">
    <w:nsid w:val="05D4BD64"/>
    <w:multiLevelType w:val="singleLevel"/>
    <w:tmpl w:val="05D4BD64"/>
    <w:lvl w:ilvl="0" w:tentative="0">
      <w:start w:val="1"/>
      <w:numFmt w:val="chineseCounting"/>
      <w:suff w:val="nothing"/>
      <w:lvlText w:val="（%1）"/>
      <w:lvlJc w:val="left"/>
      <w:pPr>
        <w:ind w:left="0" w:firstLine="420"/>
      </w:pPr>
      <w:rPr>
        <w:rFonts w:hint="eastAsia"/>
      </w:rPr>
    </w:lvl>
  </w:abstractNum>
  <w:abstractNum w:abstractNumId="20">
    <w:nsid w:val="062FDB23"/>
    <w:multiLevelType w:val="singleLevel"/>
    <w:tmpl w:val="062FDB23"/>
    <w:lvl w:ilvl="0" w:tentative="0">
      <w:start w:val="1"/>
      <w:numFmt w:val="decimal"/>
      <w:suff w:val="space"/>
      <w:lvlText w:val="%1)"/>
      <w:lvlJc w:val="left"/>
      <w:pPr>
        <w:ind w:left="425" w:hanging="425"/>
      </w:pPr>
      <w:rPr>
        <w:rFonts w:hint="default"/>
      </w:rPr>
    </w:lvl>
  </w:abstractNum>
  <w:abstractNum w:abstractNumId="21">
    <w:nsid w:val="135DBAA2"/>
    <w:multiLevelType w:val="singleLevel"/>
    <w:tmpl w:val="135DBAA2"/>
    <w:lvl w:ilvl="0" w:tentative="0">
      <w:start w:val="1"/>
      <w:numFmt w:val="decimal"/>
      <w:suff w:val="space"/>
      <w:lvlText w:val="%1."/>
      <w:lvlJc w:val="left"/>
      <w:pPr>
        <w:ind w:left="425" w:hanging="425"/>
      </w:pPr>
      <w:rPr>
        <w:rFonts w:hint="default"/>
      </w:rPr>
    </w:lvl>
  </w:abstractNum>
  <w:abstractNum w:abstractNumId="22">
    <w:nsid w:val="157E5744"/>
    <w:multiLevelType w:val="singleLevel"/>
    <w:tmpl w:val="157E5744"/>
    <w:lvl w:ilvl="0" w:tentative="0">
      <w:start w:val="1"/>
      <w:numFmt w:val="decimal"/>
      <w:suff w:val="space"/>
      <w:lvlText w:val="%1)"/>
      <w:lvlJc w:val="left"/>
      <w:pPr>
        <w:ind w:left="425" w:hanging="425"/>
      </w:pPr>
      <w:rPr>
        <w:rFonts w:hint="default"/>
      </w:rPr>
    </w:lvl>
  </w:abstractNum>
  <w:abstractNum w:abstractNumId="23">
    <w:nsid w:val="159E7E33"/>
    <w:multiLevelType w:val="singleLevel"/>
    <w:tmpl w:val="159E7E33"/>
    <w:lvl w:ilvl="0" w:tentative="0">
      <w:start w:val="1"/>
      <w:numFmt w:val="chineseCounting"/>
      <w:suff w:val="space"/>
      <w:lvlText w:val="（%1）"/>
      <w:lvlJc w:val="left"/>
      <w:pPr>
        <w:ind w:left="0" w:firstLine="420"/>
      </w:pPr>
      <w:rPr>
        <w:rFonts w:hint="eastAsia"/>
      </w:rPr>
    </w:lvl>
  </w:abstractNum>
  <w:abstractNum w:abstractNumId="24">
    <w:nsid w:val="159F6F55"/>
    <w:multiLevelType w:val="singleLevel"/>
    <w:tmpl w:val="159F6F55"/>
    <w:lvl w:ilvl="0" w:tentative="0">
      <w:start w:val="1"/>
      <w:numFmt w:val="decimal"/>
      <w:suff w:val="space"/>
      <w:lvlText w:val="(%1)"/>
      <w:lvlJc w:val="left"/>
      <w:pPr>
        <w:ind w:left="425" w:hanging="425"/>
      </w:pPr>
      <w:rPr>
        <w:rFonts w:hint="default"/>
      </w:rPr>
    </w:lvl>
  </w:abstractNum>
  <w:abstractNum w:abstractNumId="25">
    <w:nsid w:val="15C4B236"/>
    <w:multiLevelType w:val="singleLevel"/>
    <w:tmpl w:val="15C4B236"/>
    <w:lvl w:ilvl="0" w:tentative="0">
      <w:start w:val="1"/>
      <w:numFmt w:val="decimal"/>
      <w:suff w:val="space"/>
      <w:lvlText w:val="%1)"/>
      <w:lvlJc w:val="left"/>
      <w:pPr>
        <w:ind w:left="425" w:hanging="425"/>
      </w:pPr>
      <w:rPr>
        <w:rFonts w:hint="default"/>
      </w:rPr>
    </w:lvl>
  </w:abstractNum>
  <w:abstractNum w:abstractNumId="26">
    <w:nsid w:val="2A831961"/>
    <w:multiLevelType w:val="singleLevel"/>
    <w:tmpl w:val="2A831961"/>
    <w:lvl w:ilvl="0" w:tentative="0">
      <w:start w:val="1"/>
      <w:numFmt w:val="decimal"/>
      <w:suff w:val="space"/>
      <w:lvlText w:val="(%1)"/>
      <w:lvlJc w:val="left"/>
      <w:pPr>
        <w:ind w:left="425" w:hanging="425"/>
      </w:pPr>
      <w:rPr>
        <w:rFonts w:hint="default"/>
      </w:rPr>
    </w:lvl>
  </w:abstractNum>
  <w:abstractNum w:abstractNumId="27">
    <w:nsid w:val="2BBABCB8"/>
    <w:multiLevelType w:val="singleLevel"/>
    <w:tmpl w:val="2BBABCB8"/>
    <w:lvl w:ilvl="0" w:tentative="0">
      <w:start w:val="1"/>
      <w:numFmt w:val="decimal"/>
      <w:suff w:val="space"/>
      <w:lvlText w:val="%1)"/>
      <w:lvlJc w:val="left"/>
      <w:pPr>
        <w:ind w:left="425" w:hanging="425"/>
      </w:pPr>
      <w:rPr>
        <w:rFonts w:hint="default"/>
      </w:rPr>
    </w:lvl>
  </w:abstractNum>
  <w:abstractNum w:abstractNumId="28">
    <w:nsid w:val="4CBC48CE"/>
    <w:multiLevelType w:val="singleLevel"/>
    <w:tmpl w:val="4CBC48CE"/>
    <w:lvl w:ilvl="0" w:tentative="0">
      <w:start w:val="1"/>
      <w:numFmt w:val="decimal"/>
      <w:suff w:val="space"/>
      <w:lvlText w:val="(%1)"/>
      <w:lvlJc w:val="left"/>
      <w:pPr>
        <w:ind w:left="425" w:hanging="425"/>
      </w:pPr>
      <w:rPr>
        <w:rFonts w:hint="default"/>
      </w:rPr>
    </w:lvl>
  </w:abstractNum>
  <w:abstractNum w:abstractNumId="29">
    <w:nsid w:val="544EE255"/>
    <w:multiLevelType w:val="singleLevel"/>
    <w:tmpl w:val="544EE255"/>
    <w:lvl w:ilvl="0" w:tentative="0">
      <w:start w:val="1"/>
      <w:numFmt w:val="decimal"/>
      <w:suff w:val="space"/>
      <w:lvlText w:val="%1."/>
      <w:lvlJc w:val="left"/>
      <w:pPr>
        <w:ind w:left="425" w:hanging="425"/>
      </w:pPr>
      <w:rPr>
        <w:rFonts w:hint="default"/>
      </w:rPr>
    </w:lvl>
  </w:abstractNum>
  <w:abstractNum w:abstractNumId="30">
    <w:nsid w:val="58137144"/>
    <w:multiLevelType w:val="singleLevel"/>
    <w:tmpl w:val="58137144"/>
    <w:lvl w:ilvl="0" w:tentative="0">
      <w:start w:val="1"/>
      <w:numFmt w:val="decimal"/>
      <w:suff w:val="space"/>
      <w:lvlText w:val="(%1)"/>
      <w:lvlJc w:val="left"/>
      <w:pPr>
        <w:ind w:left="425" w:hanging="425"/>
      </w:pPr>
      <w:rPr>
        <w:rFonts w:hint="default"/>
      </w:rPr>
    </w:lvl>
  </w:abstractNum>
  <w:abstractNum w:abstractNumId="31">
    <w:nsid w:val="6078E6B8"/>
    <w:multiLevelType w:val="singleLevel"/>
    <w:tmpl w:val="6078E6B8"/>
    <w:lvl w:ilvl="0" w:tentative="0">
      <w:start w:val="1"/>
      <w:numFmt w:val="chineseCounting"/>
      <w:suff w:val="nothing"/>
      <w:lvlText w:val="（%1）"/>
      <w:lvlJc w:val="left"/>
      <w:pPr>
        <w:ind w:left="0" w:firstLine="420"/>
      </w:pPr>
      <w:rPr>
        <w:rFonts w:hint="eastAsia"/>
      </w:rPr>
    </w:lvl>
  </w:abstractNum>
  <w:abstractNum w:abstractNumId="32">
    <w:nsid w:val="6395F280"/>
    <w:multiLevelType w:val="singleLevel"/>
    <w:tmpl w:val="6395F280"/>
    <w:lvl w:ilvl="0" w:tentative="0">
      <w:start w:val="1"/>
      <w:numFmt w:val="decimal"/>
      <w:lvlText w:val="(%1)"/>
      <w:lvlJc w:val="left"/>
      <w:pPr>
        <w:ind w:left="425" w:hanging="425"/>
      </w:pPr>
      <w:rPr>
        <w:rFonts w:hint="default"/>
      </w:rPr>
    </w:lvl>
  </w:abstractNum>
  <w:abstractNum w:abstractNumId="33">
    <w:nsid w:val="6A23A837"/>
    <w:multiLevelType w:val="singleLevel"/>
    <w:tmpl w:val="6A23A837"/>
    <w:lvl w:ilvl="0" w:tentative="0">
      <w:start w:val="1"/>
      <w:numFmt w:val="chineseCounting"/>
      <w:suff w:val="nothing"/>
      <w:lvlText w:val="（%1）"/>
      <w:lvlJc w:val="left"/>
      <w:pPr>
        <w:ind w:left="0" w:firstLine="420"/>
      </w:pPr>
      <w:rPr>
        <w:rFonts w:hint="eastAsia"/>
      </w:rPr>
    </w:lvl>
  </w:abstractNum>
  <w:abstractNum w:abstractNumId="34">
    <w:nsid w:val="71E14F28"/>
    <w:multiLevelType w:val="singleLevel"/>
    <w:tmpl w:val="71E14F28"/>
    <w:lvl w:ilvl="0" w:tentative="0">
      <w:start w:val="1"/>
      <w:numFmt w:val="chineseCounting"/>
      <w:suff w:val="nothing"/>
      <w:lvlText w:val="（%1）"/>
      <w:lvlJc w:val="left"/>
      <w:pPr>
        <w:ind w:left="0" w:firstLine="420"/>
      </w:pPr>
      <w:rPr>
        <w:rFonts w:hint="eastAsia"/>
      </w:rPr>
    </w:lvl>
  </w:abstractNum>
  <w:abstractNum w:abstractNumId="35">
    <w:nsid w:val="7CA7F035"/>
    <w:multiLevelType w:val="singleLevel"/>
    <w:tmpl w:val="7CA7F035"/>
    <w:lvl w:ilvl="0" w:tentative="0">
      <w:start w:val="1"/>
      <w:numFmt w:val="decimal"/>
      <w:suff w:val="space"/>
      <w:lvlText w:val="%1)"/>
      <w:lvlJc w:val="left"/>
      <w:pPr>
        <w:ind w:left="425" w:hanging="425"/>
      </w:pPr>
      <w:rPr>
        <w:rFonts w:hint="default"/>
      </w:rPr>
    </w:lvl>
  </w:abstractNum>
  <w:num w:numId="1">
    <w:abstractNumId w:val="8"/>
  </w:num>
  <w:num w:numId="2">
    <w:abstractNumId w:val="19"/>
  </w:num>
  <w:num w:numId="3">
    <w:abstractNumId w:val="4"/>
  </w:num>
  <w:num w:numId="4">
    <w:abstractNumId w:val="10"/>
  </w:num>
  <w:num w:numId="5">
    <w:abstractNumId w:val="23"/>
  </w:num>
  <w:num w:numId="6">
    <w:abstractNumId w:val="9"/>
  </w:num>
  <w:num w:numId="7">
    <w:abstractNumId w:val="28"/>
  </w:num>
  <w:num w:numId="8">
    <w:abstractNumId w:val="16"/>
  </w:num>
  <w:num w:numId="9">
    <w:abstractNumId w:val="20"/>
  </w:num>
  <w:num w:numId="10">
    <w:abstractNumId w:val="24"/>
  </w:num>
  <w:num w:numId="11">
    <w:abstractNumId w:val="25"/>
  </w:num>
  <w:num w:numId="12">
    <w:abstractNumId w:val="35"/>
  </w:num>
  <w:num w:numId="13">
    <w:abstractNumId w:val="7"/>
  </w:num>
  <w:num w:numId="14">
    <w:abstractNumId w:val="0"/>
  </w:num>
  <w:num w:numId="15">
    <w:abstractNumId w:val="26"/>
  </w:num>
  <w:num w:numId="16">
    <w:abstractNumId w:val="15"/>
  </w:num>
  <w:num w:numId="17">
    <w:abstractNumId w:val="5"/>
  </w:num>
  <w:num w:numId="18">
    <w:abstractNumId w:val="27"/>
  </w:num>
  <w:num w:numId="19">
    <w:abstractNumId w:val="30"/>
  </w:num>
  <w:num w:numId="20">
    <w:abstractNumId w:val="2"/>
  </w:num>
  <w:num w:numId="21">
    <w:abstractNumId w:val="14"/>
  </w:num>
  <w:num w:numId="22">
    <w:abstractNumId w:val="22"/>
  </w:num>
  <w:num w:numId="23">
    <w:abstractNumId w:val="1"/>
  </w:num>
  <w:num w:numId="24">
    <w:abstractNumId w:val="11"/>
  </w:num>
  <w:num w:numId="25">
    <w:abstractNumId w:val="17"/>
  </w:num>
  <w:num w:numId="26">
    <w:abstractNumId w:val="32"/>
  </w:num>
  <w:num w:numId="27">
    <w:abstractNumId w:val="21"/>
  </w:num>
  <w:num w:numId="28">
    <w:abstractNumId w:val="12"/>
  </w:num>
  <w:num w:numId="29">
    <w:abstractNumId w:val="31"/>
  </w:num>
  <w:num w:numId="30">
    <w:abstractNumId w:val="3"/>
  </w:num>
  <w:num w:numId="31">
    <w:abstractNumId w:val="29"/>
  </w:num>
  <w:num w:numId="32">
    <w:abstractNumId w:val="18"/>
  </w:num>
  <w:num w:numId="33">
    <w:abstractNumId w:val="33"/>
  </w:num>
  <w:num w:numId="34">
    <w:abstractNumId w:val="34"/>
  </w:num>
  <w:num w:numId="35">
    <w:abstractNumId w:val="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73D"/>
    <w:rsid w:val="000158A5"/>
    <w:rsid w:val="00072553"/>
    <w:rsid w:val="00110F90"/>
    <w:rsid w:val="00182CC2"/>
    <w:rsid w:val="00187B32"/>
    <w:rsid w:val="001A469F"/>
    <w:rsid w:val="001B33F7"/>
    <w:rsid w:val="002746DD"/>
    <w:rsid w:val="002C2EC3"/>
    <w:rsid w:val="0032487B"/>
    <w:rsid w:val="00363C6C"/>
    <w:rsid w:val="00424967"/>
    <w:rsid w:val="004C5C5F"/>
    <w:rsid w:val="004E2E8F"/>
    <w:rsid w:val="0052198B"/>
    <w:rsid w:val="00680B63"/>
    <w:rsid w:val="007E51BF"/>
    <w:rsid w:val="008F653A"/>
    <w:rsid w:val="009E5D12"/>
    <w:rsid w:val="00A42930"/>
    <w:rsid w:val="00A434CC"/>
    <w:rsid w:val="00AC0C49"/>
    <w:rsid w:val="00B3542F"/>
    <w:rsid w:val="00B512BF"/>
    <w:rsid w:val="00BB243D"/>
    <w:rsid w:val="00CA773D"/>
    <w:rsid w:val="00DA5B52"/>
    <w:rsid w:val="00DE100D"/>
    <w:rsid w:val="00F9415F"/>
    <w:rsid w:val="051536FE"/>
    <w:rsid w:val="067B1F30"/>
    <w:rsid w:val="0B636ADA"/>
    <w:rsid w:val="130D3C66"/>
    <w:rsid w:val="1C816335"/>
    <w:rsid w:val="271201A6"/>
    <w:rsid w:val="2EDE1B67"/>
    <w:rsid w:val="2FE25E97"/>
    <w:rsid w:val="34F51567"/>
    <w:rsid w:val="35310948"/>
    <w:rsid w:val="35A91056"/>
    <w:rsid w:val="37EB4D47"/>
    <w:rsid w:val="3B2645AE"/>
    <w:rsid w:val="3BB61C44"/>
    <w:rsid w:val="3C033136"/>
    <w:rsid w:val="3E457D6F"/>
    <w:rsid w:val="458A7911"/>
    <w:rsid w:val="4B2E419E"/>
    <w:rsid w:val="4BB75F71"/>
    <w:rsid w:val="4E861611"/>
    <w:rsid w:val="51E5480E"/>
    <w:rsid w:val="54DA6B45"/>
    <w:rsid w:val="55E22764"/>
    <w:rsid w:val="563E6F86"/>
    <w:rsid w:val="598B6E78"/>
    <w:rsid w:val="612C20AF"/>
    <w:rsid w:val="64F34037"/>
    <w:rsid w:val="67BC5747"/>
    <w:rsid w:val="6A941E18"/>
    <w:rsid w:val="72AE77EF"/>
    <w:rsid w:val="795D1EAD"/>
    <w:rsid w:val="7B2B7012"/>
    <w:rsid w:val="7DAF2912"/>
    <w:rsid w:val="7F516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16"/>
    <w:qFormat/>
    <w:uiPriority w:val="0"/>
    <w:pPr>
      <w:keepNext/>
      <w:keepLines/>
      <w:spacing w:beforeLines="0" w:beforeAutospacing="0" w:afterLines="0" w:afterAutospacing="0" w:line="560" w:lineRule="exact"/>
      <w:ind w:firstLine="640" w:firstLineChars="200"/>
      <w:outlineLvl w:val="0"/>
    </w:pPr>
    <w:rPr>
      <w:rFonts w:ascii="Times New Roman" w:hAnsi="Times New Roman" w:eastAsia="黑体"/>
      <w:kern w:val="44"/>
      <w:sz w:val="32"/>
    </w:rPr>
  </w:style>
  <w:style w:type="paragraph" w:styleId="3">
    <w:name w:val="heading 2"/>
    <w:basedOn w:val="1"/>
    <w:link w:val="14"/>
    <w:qFormat/>
    <w:uiPriority w:val="9"/>
    <w:pPr>
      <w:widowControl/>
      <w:autoSpaceDE/>
      <w:autoSpaceDN/>
      <w:spacing w:before="100" w:beforeAutospacing="1" w:after="100" w:afterAutospacing="1"/>
      <w:outlineLvl w:val="1"/>
    </w:pPr>
    <w:rPr>
      <w:b/>
      <w:bCs/>
      <w:sz w:val="36"/>
      <w:szCs w:val="36"/>
      <w:lang w:val="en-US" w:bidi="ar-SA"/>
    </w:rPr>
  </w:style>
  <w:style w:type="paragraph" w:styleId="4">
    <w:name w:val="heading 3"/>
    <w:basedOn w:val="1"/>
    <w:next w:val="1"/>
    <w:link w:val="1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spacing w:beforeAutospacing="1" w:afterAutospacing="1"/>
      <w:outlineLvl w:val="3"/>
    </w:pPr>
    <w:rPr>
      <w:rFonts w:hint="eastAsia" w:cs="Times New Roman"/>
      <w:b/>
      <w:bCs/>
      <w:sz w:val="24"/>
      <w:szCs w:val="24"/>
      <w:lang w:val="en-US"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pPr>
      <w:ind w:left="113"/>
    </w:pPr>
    <w:rPr>
      <w:sz w:val="28"/>
      <w:szCs w:val="28"/>
    </w:rPr>
  </w:style>
  <w:style w:type="paragraph" w:styleId="7">
    <w:name w:val="toc 1"/>
    <w:basedOn w:val="1"/>
    <w:next w:val="1"/>
    <w:qFormat/>
    <w:uiPriority w:val="0"/>
  </w:style>
  <w:style w:type="paragraph" w:styleId="8">
    <w:name w:val="Normal (Web)"/>
    <w:basedOn w:val="1"/>
    <w:unhideWhenUsed/>
    <w:qFormat/>
    <w:uiPriority w:val="99"/>
    <w:pPr>
      <w:widowControl/>
      <w:autoSpaceDE/>
      <w:autoSpaceDN/>
      <w:spacing w:before="100" w:beforeAutospacing="1" w:after="100" w:afterAutospacing="1"/>
    </w:pPr>
    <w:rPr>
      <w:sz w:val="24"/>
      <w:szCs w:val="24"/>
      <w:lang w:val="en-US" w:bidi="ar-SA"/>
    </w:rPr>
  </w:style>
  <w:style w:type="character" w:styleId="11">
    <w:name w:val="Strong"/>
    <w:basedOn w:val="10"/>
    <w:qFormat/>
    <w:uiPriority w:val="22"/>
    <w:rPr>
      <w:b/>
      <w:bCs/>
    </w:rPr>
  </w:style>
  <w:style w:type="character" w:styleId="12">
    <w:name w:val="Hyperlink"/>
    <w:basedOn w:val="10"/>
    <w:qFormat/>
    <w:uiPriority w:val="0"/>
    <w:rPr>
      <w:color w:val="0000FF"/>
      <w:u w:val="single"/>
    </w:rPr>
  </w:style>
  <w:style w:type="paragraph" w:styleId="13">
    <w:name w:val="List Paragraph"/>
    <w:basedOn w:val="1"/>
    <w:autoRedefine/>
    <w:qFormat/>
    <w:uiPriority w:val="1"/>
    <w:pPr>
      <w:ind w:left="113" w:firstLine="559"/>
      <w:jc w:val="both"/>
    </w:pPr>
  </w:style>
  <w:style w:type="character" w:customStyle="1" w:styleId="14">
    <w:name w:val="标题 2 字符"/>
    <w:basedOn w:val="10"/>
    <w:link w:val="3"/>
    <w:qFormat/>
    <w:uiPriority w:val="9"/>
    <w:rPr>
      <w:rFonts w:ascii="宋体" w:hAnsi="宋体" w:eastAsia="宋体" w:cs="宋体"/>
      <w:b/>
      <w:bCs/>
      <w:sz w:val="36"/>
      <w:szCs w:val="36"/>
    </w:rPr>
  </w:style>
  <w:style w:type="character" w:customStyle="1" w:styleId="15">
    <w:name w:val="标题 3 字符"/>
    <w:basedOn w:val="10"/>
    <w:link w:val="4"/>
    <w:semiHidden/>
    <w:qFormat/>
    <w:uiPriority w:val="0"/>
    <w:rPr>
      <w:rFonts w:ascii="宋体" w:hAnsi="宋体" w:cs="宋体"/>
      <w:b/>
      <w:bCs/>
      <w:sz w:val="32"/>
      <w:szCs w:val="32"/>
      <w:lang w:val="zh-CN" w:bidi="zh-CN"/>
    </w:rPr>
  </w:style>
  <w:style w:type="character" w:customStyle="1" w:styleId="16">
    <w:name w:val="标题 1 Char"/>
    <w:link w:val="2"/>
    <w:qFormat/>
    <w:uiPriority w:val="0"/>
    <w:rPr>
      <w:rFonts w:ascii="Times New Roman" w:hAnsi="Times New Roman" w:eastAsia="黑体"/>
      <w:kern w:val="44"/>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ontractReview xmlns="http://schemas.wps.cn/vas-ai-hub/contract-review">
  <reviewItems>
    <reviewItem>
      <errorID>e060fe05-ca2e-4351-a564-bd8851da833a</errorID>
      <errorWord>未来产业</errorWord>
      <group>L1_AI</group>
      <groupName>深度校对</groupName>
      <ability>L2_AI_Word</ability>
      <abilityName>字词纠错</abilityName>
      <candidateList>
        <item>产业未来</item>
      </candidateList>
      <explain/>
      <paraID>632EEAC6</paraID>
      <start>15</start>
      <end>19</end>
      <status>ignored</status>
      <modifiedWord/>
      <trackRevisions>false</trackRevisions>
    </reviewItem>
    <reviewItem>
      <errorID>8c948613-a7cf-4af5-932a-5482c824494e</errorID>
      <errorWord>”</errorWord>
      <group>L1_AI</group>
      <groupName>深度校对</groupName>
      <ability>L2_AI_Grammar</ability>
      <abilityName>语法纠错</abilityName>
      <candidateList>
        <item>简介”</item>
      </candidateList>
      <explain/>
      <paraID>661A26D4</paraID>
      <start>35</start>
      <end>36</end>
      <status>ignored</status>
      <modifiedWord/>
      <trackRevisions>false</trackRevisions>
    </reviewItem>
    <reviewItem>
      <errorID>fadfde0b-84d0-44a0-ad7a-08ad37ce9735</errorID>
      <errorWord>详实</errorWord>
      <group>L1_Word</group>
      <groupName>字词问题</groupName>
      <ability>L2_Typo</ability>
      <abilityName>字词错误</abilityName>
      <candidateList>
        <item>翔实</item>
      </candidateList>
      <explain>存在发音相同字词的误用。</explain>
      <paraID>715C6398</paraID>
      <start>3</start>
      <end>5</end>
      <status>ignored</status>
      <modifiedWord/>
      <trackRevisions>false</trackRevisions>
    </reviewItem>
    <reviewItem>
      <errorID>a2907192-ce92-4cff-9952-afd00082e28f</errorID>
      <errorWord>文字精炼</errorWord>
      <group>L1_Word</group>
      <groupName>字词问题</groupName>
      <ability>L2_Alias</ability>
      <abilityName>也作/曾用词</abilityName>
      <candidateList>
        <item>文字精练</item>
      </candidateList>
      <explain>词汇[文字精炼]为不规范表述或旧称，其规范书面表述为[文字精练]。</explain>
      <paraID>5755E8DD</paraID>
      <start>6</start>
      <end>10</end>
      <status>ignored</status>
      <modifiedWord/>
      <trackRevisions>false</trackRevisions>
    </reviewItem>
    <reviewItem>
      <errorID>d94c0d07-543b-4914-b316-229d549e8e15</errorID>
      <errorWord>.</errorWord>
      <group>L1_Format</group>
      <groupName>格式问题</groupName>
      <ability>L2_HalfPunc</ability>
      <abilityName>全半角检查</abilityName>
      <candidateList>
        <item>。</item>
      </candidateList>
      <explain>文本全半角错误。</explain>
      <paraID>5755E8DD</paraID>
      <start>24</start>
      <end>25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468ae6-b39c-4933-a022-2e632ea46c22}">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6629</Words>
  <Characters>6820</Characters>
  <Lines>49</Lines>
  <Paragraphs>14</Paragraphs>
  <TotalTime>123</TotalTime>
  <ScaleCrop>false</ScaleCrop>
  <LinksUpToDate>false</LinksUpToDate>
  <CharactersWithSpaces>6861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2026-03-17T05:59:00Z</dcterms:created>
  <dc:creator>97979</dc:creator>
  <cp:lastModifiedBy>YAOVO</cp:lastModifiedBy>
  <cp:lastPrinted>2026-03-26T05:57:00Z</cp:lastPrinted>
  <dcterms:modified xsi:type="dcterms:W3CDTF">2026-03-26T08:42:33Z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eyJoZGlkIjoiNTVkNmI0NzM0ZjdmMGUyY2Y2ZTRhNTkyZTNhODM2NmYiLCJ1c2VySWQiOiIyNjkyMjk0MTcifQ==</vt:lpwstr>
  </property>
  <property fmtid="{D5CDD505-2E9C-101B-9397-08002B2CF9AE}" pid="4" name="ICV">
    <vt:lpwstr>DC04EC17427240B08CCE1BB2DAF84460_13</vt:lpwstr>
  </property>
</Properties>
</file>