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DE34C">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both"/>
        <w:textAlignment w:val="auto"/>
        <w:rPr>
          <w:rFonts w:hint="default"/>
          <w:lang w:val="en-US" w:eastAsia="zh-CN"/>
        </w:rPr>
      </w:pPr>
      <w:r>
        <w:rPr>
          <w:rFonts w:hint="eastAsia" w:ascii="仿宋_GB2312" w:hAnsi="华文仿宋" w:eastAsia="仿宋_GB2312" w:cs="华文仿宋"/>
          <w:bCs/>
          <w:color w:val="auto"/>
          <w:kern w:val="2"/>
          <w:sz w:val="32"/>
          <w:lang w:val="en-US" w:bidi="ar-SA"/>
        </w:rPr>
        <w:t>附件</w:t>
      </w:r>
      <w:r>
        <w:rPr>
          <w:rFonts w:hint="eastAsia" w:ascii="仿宋_GB2312" w:hAnsi="华文仿宋" w:eastAsia="仿宋_GB2312" w:cs="华文仿宋"/>
          <w:bCs/>
          <w:color w:val="auto"/>
          <w:kern w:val="2"/>
          <w:sz w:val="32"/>
          <w:lang w:val="en-US" w:eastAsia="zh-CN" w:bidi="ar-SA"/>
        </w:rPr>
        <w:t>4：基本状态信息表重点模块文字表述（仅供参考）</w:t>
      </w:r>
    </w:p>
    <w:p w14:paraId="55D203EC">
      <w:pPr>
        <w:keepNext w:val="0"/>
        <w:keepLines w:val="0"/>
        <w:widowControl/>
        <w:suppressLineNumbers w:val="0"/>
        <w:jc w:val="center"/>
        <w:rPr>
          <w:rFonts w:hint="eastAsia" w:ascii="黑体" w:hAnsi="宋体" w:eastAsia="黑体" w:cs="黑体"/>
          <w:color w:val="000000"/>
          <w:kern w:val="0"/>
          <w:sz w:val="31"/>
          <w:szCs w:val="31"/>
          <w:lang w:val="en-US" w:eastAsia="zh-CN" w:bidi="ar"/>
        </w:rPr>
      </w:pPr>
    </w:p>
    <w:p w14:paraId="49B2846B">
      <w:pPr>
        <w:keepNext w:val="0"/>
        <w:keepLines w:val="0"/>
        <w:widowControl/>
        <w:suppressLineNumbers w:val="0"/>
        <w:jc w:val="left"/>
      </w:pPr>
      <w:r>
        <w:rPr>
          <w:rFonts w:ascii="黑体" w:hAnsi="宋体" w:eastAsia="黑体" w:cs="黑体"/>
          <w:color w:val="000000"/>
          <w:kern w:val="0"/>
          <w:sz w:val="31"/>
          <w:szCs w:val="31"/>
          <w:lang w:val="en-US" w:eastAsia="zh-CN" w:bidi="ar"/>
        </w:rPr>
        <w:t>S010101</w:t>
      </w:r>
      <w:r>
        <w:rPr>
          <w:rFonts w:hint="eastAsia" w:ascii="黑体" w:hAnsi="宋体" w:eastAsia="黑体" w:cs="黑体"/>
          <w:color w:val="000000"/>
          <w:kern w:val="0"/>
          <w:sz w:val="31"/>
          <w:szCs w:val="31"/>
          <w:lang w:val="en-US" w:eastAsia="zh-CN" w:bidi="ar"/>
        </w:rPr>
        <w:t>（Z</w:t>
      </w:r>
      <w:r>
        <w:rPr>
          <w:rFonts w:ascii="黑体" w:hAnsi="宋体" w:eastAsia="黑体" w:cs="黑体"/>
          <w:color w:val="000000"/>
          <w:kern w:val="0"/>
          <w:sz w:val="31"/>
          <w:szCs w:val="31"/>
          <w:lang w:val="en-US" w:eastAsia="zh-CN" w:bidi="ar"/>
        </w:rPr>
        <w:t>010101</w:t>
      </w:r>
      <w:r>
        <w:rPr>
          <w:rFonts w:hint="eastAsia" w:ascii="黑体" w:hAnsi="宋体" w:eastAsia="黑体" w:cs="黑体"/>
          <w:color w:val="000000"/>
          <w:kern w:val="0"/>
          <w:sz w:val="31"/>
          <w:szCs w:val="31"/>
          <w:lang w:val="en-US" w:eastAsia="zh-CN" w:bidi="ar"/>
        </w:rPr>
        <w:t>）</w:t>
      </w:r>
      <w:r>
        <w:rPr>
          <w:rFonts w:ascii="黑体" w:hAnsi="宋体" w:eastAsia="黑体" w:cs="黑体"/>
          <w:color w:val="000000"/>
          <w:kern w:val="0"/>
          <w:sz w:val="31"/>
          <w:szCs w:val="31"/>
          <w:lang w:val="en-US" w:eastAsia="zh-CN" w:bidi="ar"/>
        </w:rPr>
        <w:t xml:space="preserve"> 学位点建设进展情况 </w:t>
      </w:r>
    </w:p>
    <w:p w14:paraId="686C976C">
      <w:pPr>
        <w:pStyle w:val="4"/>
        <w:keepNext w:val="0"/>
        <w:keepLines w:val="0"/>
        <w:pageBreakBefore w:val="0"/>
        <w:widowControl w:val="0"/>
        <w:kinsoku/>
        <w:wordWrap/>
        <w:overflowPunct/>
        <w:topLinePunct w:val="0"/>
        <w:autoSpaceDE/>
        <w:autoSpaceDN/>
        <w:bidi w:val="0"/>
        <w:adjustRightInd/>
        <w:snapToGrid/>
        <w:spacing w:line="500" w:lineRule="exact"/>
        <w:ind w:left="0" w:leftChars="0" w:right="164" w:firstLine="488" w:firstLineChars="200"/>
        <w:textAlignment w:val="auto"/>
        <w:rPr>
          <w:b w:val="0"/>
          <w:bCs w:val="0"/>
          <w:u w:val="single"/>
        </w:rPr>
      </w:pPr>
      <w:r>
        <w:rPr>
          <w:b w:val="0"/>
          <w:bCs w:val="0"/>
          <w:spacing w:val="-18"/>
          <w:u w:val="single"/>
        </w:rPr>
        <w:t>内容：统计时间段内本学位点建设的总体情况</w:t>
      </w:r>
      <w:r>
        <w:rPr>
          <w:b w:val="0"/>
          <w:bCs w:val="0"/>
          <w:spacing w:val="-3"/>
          <w:u w:val="single"/>
        </w:rPr>
        <w:t>（</w:t>
      </w:r>
      <w:r>
        <w:rPr>
          <w:b w:val="0"/>
          <w:bCs w:val="0"/>
          <w:spacing w:val="-2"/>
          <w:u w:val="single"/>
        </w:rPr>
        <w:t>学科方向布局、</w:t>
      </w:r>
      <w:r>
        <w:rPr>
          <w:b w:val="0"/>
          <w:bCs w:val="0"/>
          <w:spacing w:val="-12"/>
          <w:u w:val="single"/>
        </w:rPr>
        <w:t>师资引育、平台建设、人才培养及质量保障体系建设、主要成果等</w:t>
      </w:r>
      <w:r>
        <w:rPr>
          <w:b w:val="0"/>
          <w:bCs w:val="0"/>
          <w:spacing w:val="-37"/>
          <w:u w:val="single"/>
        </w:rPr>
        <w:t>）</w:t>
      </w:r>
      <w:r>
        <w:rPr>
          <w:b w:val="0"/>
          <w:bCs w:val="0"/>
          <w:u w:val="single"/>
        </w:rPr>
        <w:t>。</w:t>
      </w:r>
      <w:r>
        <w:rPr>
          <w:b w:val="0"/>
          <w:bCs w:val="0"/>
          <w:spacing w:val="-36"/>
          <w:u w:val="single"/>
        </w:rPr>
        <w:t xml:space="preserve">限 </w:t>
      </w:r>
      <w:r>
        <w:rPr>
          <w:rFonts w:ascii="Times New Roman" w:eastAsia="Times New Roman"/>
          <w:b w:val="0"/>
          <w:bCs w:val="0"/>
          <w:u w:val="single"/>
        </w:rPr>
        <w:t>800</w:t>
      </w:r>
      <w:r>
        <w:rPr>
          <w:b w:val="0"/>
          <w:bCs w:val="0"/>
          <w:u w:val="single"/>
        </w:rPr>
        <w:t>字。</w:t>
      </w:r>
    </w:p>
    <w:p w14:paraId="0BA02564">
      <w:pPr>
        <w:keepNext w:val="0"/>
        <w:keepLines w:val="0"/>
        <w:pageBreakBefore w:val="0"/>
        <w:widowControl/>
        <w:suppressLineNumbers w:val="0"/>
        <w:kinsoku/>
        <w:wordWrap/>
        <w:overflowPunct/>
        <w:topLinePunct w:val="0"/>
        <w:autoSpaceDE/>
        <w:autoSpaceDN/>
        <w:bidi w:val="0"/>
        <w:adjustRightInd/>
        <w:snapToGrid/>
        <w:spacing w:before="157" w:beforeLines="50"/>
        <w:ind w:firstLine="562"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学科方向布局方面：</w:t>
      </w:r>
      <w:r>
        <w:rPr>
          <w:rFonts w:hint="default" w:ascii="Times New Roman" w:hAnsi="Times New Roman" w:eastAsia="宋体" w:cs="Times New Roman"/>
          <w:color w:val="000000"/>
          <w:kern w:val="0"/>
          <w:sz w:val="28"/>
          <w:szCs w:val="28"/>
          <w:lang w:val="en-US" w:eastAsia="zh-CN" w:bidi="ar"/>
        </w:rPr>
        <w:t>2006</w:t>
      </w:r>
      <w:r>
        <w:rPr>
          <w:rFonts w:hint="eastAsia" w:ascii="宋体" w:hAnsi="宋体" w:eastAsia="宋体" w:cs="宋体"/>
          <w:color w:val="000000"/>
          <w:kern w:val="0"/>
          <w:sz w:val="28"/>
          <w:szCs w:val="28"/>
          <w:lang w:val="en-US" w:eastAsia="zh-CN" w:bidi="ar"/>
        </w:rPr>
        <w:t>年，我校机械电子工程二级学科获批硕士学 位授权资格；</w:t>
      </w:r>
      <w:r>
        <w:rPr>
          <w:rFonts w:hint="default" w:ascii="Times New Roman" w:hAnsi="Times New Roman" w:eastAsia="宋体" w:cs="Times New Roman"/>
          <w:color w:val="000000"/>
          <w:kern w:val="0"/>
          <w:sz w:val="28"/>
          <w:szCs w:val="28"/>
          <w:lang w:val="en-US" w:eastAsia="zh-CN" w:bidi="ar"/>
        </w:rPr>
        <w:t>2011</w:t>
      </w:r>
      <w:r>
        <w:rPr>
          <w:rFonts w:hint="eastAsia" w:ascii="宋体" w:hAnsi="宋体" w:eastAsia="宋体" w:cs="宋体"/>
          <w:color w:val="000000"/>
          <w:kern w:val="0"/>
          <w:sz w:val="28"/>
          <w:szCs w:val="28"/>
          <w:lang w:val="en-US" w:eastAsia="zh-CN" w:bidi="ar"/>
        </w:rPr>
        <w:t>年，机械工程一级学科获批硕士学位授权资格；同年物流工程获批目录外二级学科硕士授权资格。目前，学位点下设</w:t>
      </w: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个学科方向，分别是：机械电子工程，机械设计及理论，物流工程以及特色学科方向智能出版技术及装备。</w:t>
      </w:r>
    </w:p>
    <w:p w14:paraId="23CAE1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FF"/>
          <w:kern w:val="0"/>
          <w:sz w:val="28"/>
          <w:szCs w:val="28"/>
          <w:lang w:val="en-US" w:eastAsia="zh-CN" w:bidi="ar"/>
        </w:rPr>
      </w:pPr>
      <w:r>
        <w:rPr>
          <w:rFonts w:hint="eastAsia" w:ascii="楷体" w:hAnsi="楷体" w:eastAsia="楷体" w:cs="楷体"/>
          <w:color w:val="0000FF"/>
          <w:kern w:val="0"/>
          <w:sz w:val="28"/>
          <w:szCs w:val="28"/>
          <w:lang w:val="en-US" w:eastAsia="zh-CN" w:bidi="ar"/>
        </w:rPr>
        <w:t>（主要陈述学科方向的布局调整，也可以适当讲一下学科发展历史）</w:t>
      </w:r>
    </w:p>
    <w:p w14:paraId="3FD06563">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师资引育方面：</w:t>
      </w:r>
      <w:r>
        <w:rPr>
          <w:rFonts w:hint="eastAsia" w:ascii="宋体" w:hAnsi="宋体" w:eastAsia="宋体" w:cs="宋体"/>
          <w:color w:val="000000"/>
          <w:kern w:val="0"/>
          <w:sz w:val="28"/>
          <w:szCs w:val="28"/>
          <w:lang w:val="en-US" w:eastAsia="zh-CN" w:bidi="ar"/>
        </w:rPr>
        <w:t>学位点现有专任教师</w:t>
      </w:r>
      <w:r>
        <w:rPr>
          <w:rFonts w:hint="default" w:ascii="Times New Roman" w:hAnsi="Times New Roman" w:eastAsia="宋体" w:cs="Times New Roman"/>
          <w:color w:val="000000"/>
          <w:kern w:val="0"/>
          <w:sz w:val="28"/>
          <w:szCs w:val="28"/>
          <w:lang w:val="en-US" w:eastAsia="zh-CN" w:bidi="ar"/>
        </w:rPr>
        <w:t>32</w:t>
      </w:r>
      <w:r>
        <w:rPr>
          <w:rFonts w:hint="eastAsia" w:ascii="宋体" w:hAnsi="宋体" w:eastAsia="宋体" w:cs="宋体"/>
          <w:color w:val="000000"/>
          <w:kern w:val="0"/>
          <w:sz w:val="28"/>
          <w:szCs w:val="28"/>
          <w:lang w:val="en-US" w:eastAsia="zh-CN" w:bidi="ar"/>
        </w:rPr>
        <w:t>人，其中正高级</w:t>
      </w:r>
      <w:r>
        <w:rPr>
          <w:rFonts w:hint="default" w:ascii="Times New Roman" w:hAnsi="Times New Roman" w:eastAsia="宋体" w:cs="Times New Roman"/>
          <w:color w:val="000000"/>
          <w:kern w:val="0"/>
          <w:sz w:val="28"/>
          <w:szCs w:val="28"/>
          <w:lang w:val="en-US" w:eastAsia="zh-CN" w:bidi="ar"/>
        </w:rPr>
        <w:t>8</w:t>
      </w:r>
      <w:r>
        <w:rPr>
          <w:rFonts w:hint="eastAsia" w:ascii="宋体" w:hAnsi="宋体" w:eastAsia="宋体" w:cs="宋体"/>
          <w:color w:val="000000"/>
          <w:kern w:val="0"/>
          <w:sz w:val="28"/>
          <w:szCs w:val="28"/>
          <w:lang w:val="en-US" w:eastAsia="zh-CN" w:bidi="ar"/>
        </w:rPr>
        <w:t>人、副高级</w:t>
      </w:r>
      <w:r>
        <w:rPr>
          <w:rFonts w:hint="default" w:ascii="Times New Roman" w:hAnsi="Times New Roman" w:eastAsia="宋体" w:cs="Times New Roman"/>
          <w:color w:val="000000"/>
          <w:kern w:val="0"/>
          <w:sz w:val="28"/>
          <w:szCs w:val="28"/>
          <w:lang w:val="en-US" w:eastAsia="zh-CN" w:bidi="ar"/>
        </w:rPr>
        <w:t>19</w:t>
      </w:r>
      <w:r>
        <w:rPr>
          <w:rFonts w:hint="eastAsia" w:ascii="宋体" w:hAnsi="宋体" w:eastAsia="宋体" w:cs="宋体"/>
          <w:color w:val="000000"/>
          <w:kern w:val="0"/>
          <w:sz w:val="28"/>
          <w:szCs w:val="28"/>
          <w:lang w:val="en-US" w:eastAsia="zh-CN" w:bidi="ar"/>
        </w:rPr>
        <w:t>人，高级职称比例为</w:t>
      </w:r>
      <w:r>
        <w:rPr>
          <w:rFonts w:hint="default" w:ascii="Times New Roman" w:hAnsi="Times New Roman" w:eastAsia="宋体" w:cs="Times New Roman"/>
          <w:color w:val="000000"/>
          <w:kern w:val="0"/>
          <w:sz w:val="28"/>
          <w:szCs w:val="28"/>
          <w:lang w:val="en-US" w:eastAsia="zh-CN" w:bidi="ar"/>
        </w:rPr>
        <w:t>84%</w:t>
      </w:r>
      <w:r>
        <w:rPr>
          <w:rFonts w:hint="eastAsia" w:ascii="宋体" w:hAnsi="宋体" w:eastAsia="宋体" w:cs="宋体"/>
          <w:color w:val="000000"/>
          <w:kern w:val="0"/>
          <w:sz w:val="28"/>
          <w:szCs w:val="28"/>
          <w:lang w:val="en-US" w:eastAsia="zh-CN" w:bidi="ar"/>
        </w:rPr>
        <w:t>，博士学位教师比例为</w:t>
      </w:r>
      <w:r>
        <w:rPr>
          <w:rFonts w:hint="default" w:ascii="Times New Roman" w:hAnsi="Times New Roman" w:eastAsia="宋体" w:cs="Times New Roman"/>
          <w:color w:val="000000"/>
          <w:kern w:val="0"/>
          <w:sz w:val="28"/>
          <w:szCs w:val="28"/>
          <w:lang w:val="en-US" w:eastAsia="zh-CN" w:bidi="ar"/>
        </w:rPr>
        <w:t>81%</w:t>
      </w:r>
      <w:r>
        <w:rPr>
          <w:rFonts w:hint="eastAsia" w:ascii="宋体" w:hAnsi="宋体" w:eastAsia="宋体" w:cs="宋体"/>
          <w:color w:val="000000"/>
          <w:kern w:val="0"/>
          <w:sz w:val="28"/>
          <w:szCs w:val="28"/>
          <w:lang w:val="en-US" w:eastAsia="zh-CN" w:bidi="ar"/>
        </w:rPr>
        <w:t>。拥有国家科技进步奖获得者、国务院政府特殊津贴专家、北京市高创计划领军人才、北京市百千万人才、北京市教学名师、北京市科技新星、北京市青年拔尖人才、毕昇印刷优秀新人奖、全国印刷行业百名科技创新标兵、全国印刷机械标委会委员、全国出版物发行标委会委员等在内的各类人才近</w:t>
      </w:r>
      <w:r>
        <w:rPr>
          <w:rFonts w:hint="default" w:ascii="Times New Roman" w:hAnsi="Times New Roman" w:eastAsia="宋体" w:cs="Times New Roman"/>
          <w:color w:val="000000"/>
          <w:kern w:val="0"/>
          <w:sz w:val="28"/>
          <w:szCs w:val="28"/>
          <w:lang w:val="en-US" w:eastAsia="zh-CN" w:bidi="ar"/>
        </w:rPr>
        <w:t>30</w:t>
      </w:r>
      <w:r>
        <w:rPr>
          <w:rFonts w:hint="eastAsia" w:ascii="宋体" w:hAnsi="宋体" w:eastAsia="宋体" w:cs="宋体"/>
          <w:color w:val="000000"/>
          <w:kern w:val="0"/>
          <w:sz w:val="28"/>
          <w:szCs w:val="28"/>
          <w:lang w:val="en-US" w:eastAsia="zh-CN" w:bidi="ar"/>
        </w:rPr>
        <w:t>人次。采取刚柔结合的方式，引进国家级及行业领军人才</w:t>
      </w:r>
      <w:r>
        <w:rPr>
          <w:rFonts w:hint="default" w:ascii="Times New Roman" w:hAnsi="Times New Roman" w:eastAsia="宋体" w:cs="Times New Roman"/>
          <w:color w:val="000000"/>
          <w:kern w:val="0"/>
          <w:sz w:val="28"/>
          <w:szCs w:val="28"/>
          <w:lang w:val="en-US" w:eastAsia="zh-CN" w:bidi="ar"/>
        </w:rPr>
        <w:t>10</w:t>
      </w:r>
      <w:r>
        <w:rPr>
          <w:rFonts w:hint="eastAsia" w:ascii="宋体" w:hAnsi="宋体" w:eastAsia="宋体" w:cs="宋体"/>
          <w:color w:val="000000"/>
          <w:kern w:val="0"/>
          <w:sz w:val="28"/>
          <w:szCs w:val="28"/>
          <w:lang w:val="en-US" w:eastAsia="zh-CN" w:bidi="ar"/>
        </w:rPr>
        <w:t>余人，高层次人才引进取得突破进展，人员梯次合理、业务水平优良的教师队伍对学科可持续发展发挥了重要作用。</w:t>
      </w:r>
    </w:p>
    <w:p w14:paraId="0AF4DB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FF"/>
          <w:kern w:val="0"/>
          <w:sz w:val="28"/>
          <w:szCs w:val="28"/>
          <w:lang w:val="en-US" w:eastAsia="zh-CN" w:bidi="ar"/>
        </w:rPr>
      </w:pPr>
      <w:r>
        <w:rPr>
          <w:rFonts w:hint="eastAsia" w:ascii="楷体" w:hAnsi="楷体" w:eastAsia="楷体" w:cs="楷体"/>
          <w:color w:val="0000FF"/>
          <w:kern w:val="0"/>
          <w:sz w:val="28"/>
          <w:szCs w:val="28"/>
          <w:lang w:val="en-US" w:eastAsia="zh-CN" w:bidi="ar"/>
        </w:rPr>
        <w:t>（简要交代师资整体情况，突出师资队伍的亮点状况，指出师资引育的重点措施与成效。用数据说话）</w:t>
      </w:r>
    </w:p>
    <w:p w14:paraId="5477A4BD">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平台建设方面：</w:t>
      </w:r>
      <w:r>
        <w:rPr>
          <w:rFonts w:hint="eastAsia" w:ascii="宋体" w:hAnsi="宋体" w:eastAsia="宋体" w:cs="宋体"/>
          <w:color w:val="000000"/>
          <w:kern w:val="0"/>
          <w:sz w:val="28"/>
          <w:szCs w:val="28"/>
          <w:lang w:val="en-US" w:eastAsia="zh-CN" w:bidi="ar"/>
        </w:rPr>
        <w:t>学位点拥有行业唯一的国家级质检中心</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印刷机械质量检验检测中心；中宣部</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新闻出版领域关键技术研发及应用综合实验室</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数字化印刷装备北京市重点实验室</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印刷装备北京市高等学校工程研究中心</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三个省部级科研平台。其中，</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新闻出版领域关键技术研发及应用综合实验室</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多次获评国家新闻出版署年度优秀重点实验室。</w:t>
      </w:r>
    </w:p>
    <w:p w14:paraId="395D4C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FF"/>
          <w:kern w:val="0"/>
          <w:sz w:val="28"/>
          <w:szCs w:val="28"/>
          <w:lang w:val="en-US" w:eastAsia="zh-CN" w:bidi="ar"/>
        </w:rPr>
      </w:pPr>
      <w:r>
        <w:rPr>
          <w:rFonts w:hint="eastAsia" w:ascii="楷体" w:hAnsi="楷体" w:eastAsia="楷体" w:cs="楷体"/>
          <w:color w:val="0000FF"/>
          <w:kern w:val="0"/>
          <w:sz w:val="28"/>
          <w:szCs w:val="28"/>
          <w:lang w:val="en-US" w:eastAsia="zh-CN" w:bidi="ar"/>
        </w:rPr>
        <w:t>（描述平台的建设质量与数量，还可以陈述平台对学科建设、人才培养、科学研究中发挥的支撑作用）</w:t>
      </w:r>
    </w:p>
    <w:p w14:paraId="2309840C">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人才培养及质量保障体系建设方面：</w:t>
      </w:r>
      <w:r>
        <w:rPr>
          <w:rFonts w:hint="eastAsia" w:ascii="宋体" w:hAnsi="宋体" w:eastAsia="宋体" w:cs="宋体"/>
          <w:color w:val="000000"/>
          <w:kern w:val="0"/>
          <w:sz w:val="28"/>
          <w:szCs w:val="28"/>
          <w:lang w:val="en-US" w:eastAsia="zh-CN" w:bidi="ar"/>
        </w:rPr>
        <w:t>本学位点认真落实国务院学位委员会、教育部关于进一步严格规范学位与研究生教育质量管理的若干意见，落实立德树人根本任务，构建“三全育人”体系；加强课程思政建设，将思政内容与专业教育有机融合；完善质量保障体系，健全课程教学、实习实践、学位论文各环节质量标准；强化导师第一责任，落实全过程管理责任，提高人才培养质量。近三年，学生共发表论文100余篇，获得国内外赛事奖项20余项，学生获省部级以上学科竞赛奖项年均增长17%。本学位点毕业生平均就业率达到96.3%，毕业生就业质量较高。</w:t>
      </w:r>
    </w:p>
    <w:p w14:paraId="788707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FF"/>
          <w:kern w:val="0"/>
          <w:sz w:val="28"/>
          <w:szCs w:val="28"/>
          <w:lang w:val="en-US" w:eastAsia="zh-CN" w:bidi="ar"/>
        </w:rPr>
      </w:pPr>
      <w:r>
        <w:rPr>
          <w:rFonts w:hint="eastAsia" w:ascii="楷体" w:hAnsi="楷体" w:eastAsia="楷体" w:cs="楷体"/>
          <w:color w:val="0000FF"/>
          <w:kern w:val="0"/>
          <w:sz w:val="28"/>
          <w:szCs w:val="28"/>
          <w:lang w:val="en-US" w:eastAsia="zh-CN" w:bidi="ar"/>
        </w:rPr>
        <w:t>（描述人才培养质量保障体系建设的整体架构、相关措施，需包括立德树人、学生获奖情况、学生就业情况等。）</w:t>
      </w:r>
    </w:p>
    <w:p w14:paraId="4BAFDCE0">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主要成果方面：</w:t>
      </w:r>
      <w:r>
        <w:rPr>
          <w:rFonts w:hint="eastAsia" w:ascii="宋体" w:hAnsi="宋体" w:eastAsia="宋体" w:cs="宋体"/>
          <w:color w:val="000000"/>
          <w:kern w:val="0"/>
          <w:sz w:val="28"/>
          <w:szCs w:val="28"/>
          <w:lang w:val="en-US" w:eastAsia="zh-CN" w:bidi="ar"/>
        </w:rPr>
        <w:t>近三年，学位点师生共承担国家级项目</w:t>
      </w:r>
      <w:r>
        <w:rPr>
          <w:rFonts w:hint="default" w:ascii="Times New Roman" w:hAnsi="Times New Roman" w:eastAsia="宋体" w:cs="Times New Roman"/>
          <w:color w:val="000000"/>
          <w:kern w:val="0"/>
          <w:sz w:val="28"/>
          <w:szCs w:val="28"/>
          <w:lang w:val="en-US" w:eastAsia="zh-CN" w:bidi="ar"/>
        </w:rPr>
        <w:t>10</w:t>
      </w:r>
      <w:r>
        <w:rPr>
          <w:rFonts w:hint="eastAsia" w:ascii="宋体" w:hAnsi="宋体" w:eastAsia="宋体" w:cs="宋体"/>
          <w:color w:val="000000"/>
          <w:kern w:val="0"/>
          <w:sz w:val="28"/>
          <w:szCs w:val="28"/>
          <w:lang w:val="en-US" w:eastAsia="zh-CN" w:bidi="ar"/>
        </w:rPr>
        <w:t>余项、省部级项目</w:t>
      </w:r>
      <w:r>
        <w:rPr>
          <w:rFonts w:hint="default" w:ascii="Times New Roman" w:hAnsi="Times New Roman" w:eastAsia="宋体" w:cs="Times New Roman"/>
          <w:color w:val="000000"/>
          <w:kern w:val="0"/>
          <w:sz w:val="28"/>
          <w:szCs w:val="28"/>
          <w:lang w:val="en-US" w:eastAsia="zh-CN" w:bidi="ar"/>
        </w:rPr>
        <w:t>30</w:t>
      </w:r>
      <w:r>
        <w:rPr>
          <w:rFonts w:hint="eastAsia" w:ascii="宋体" w:hAnsi="宋体" w:eastAsia="宋体" w:cs="宋体"/>
          <w:color w:val="000000"/>
          <w:kern w:val="0"/>
          <w:sz w:val="28"/>
          <w:szCs w:val="28"/>
          <w:lang w:val="en-US" w:eastAsia="zh-CN" w:bidi="ar"/>
        </w:rPr>
        <w:t>余项，科技成果转化近</w:t>
      </w:r>
      <w:r>
        <w:rPr>
          <w:rFonts w:hint="default" w:ascii="Times New Roman" w:hAnsi="Times New Roman" w:eastAsia="宋体" w:cs="Times New Roman"/>
          <w:color w:val="000000"/>
          <w:kern w:val="0"/>
          <w:sz w:val="28"/>
          <w:szCs w:val="28"/>
          <w:lang w:val="en-US" w:eastAsia="zh-CN" w:bidi="ar"/>
        </w:rPr>
        <w:t>20</w:t>
      </w:r>
      <w:r>
        <w:rPr>
          <w:rFonts w:hint="eastAsia" w:ascii="宋体" w:hAnsi="宋体" w:eastAsia="宋体" w:cs="宋体"/>
          <w:color w:val="000000"/>
          <w:kern w:val="0"/>
          <w:sz w:val="28"/>
          <w:szCs w:val="28"/>
          <w:lang w:val="en-US" w:eastAsia="zh-CN" w:bidi="ar"/>
        </w:rPr>
        <w:t>项。获省部级及行业协会科技奖</w:t>
      </w:r>
      <w:r>
        <w:rPr>
          <w:rFonts w:hint="default" w:ascii="Times New Roman" w:hAnsi="Times New Roman" w:eastAsia="宋体" w:cs="Times New Roman"/>
          <w:color w:val="000000"/>
          <w:kern w:val="0"/>
          <w:sz w:val="28"/>
          <w:szCs w:val="28"/>
          <w:lang w:val="en-US" w:eastAsia="zh-CN" w:bidi="ar"/>
        </w:rPr>
        <w:t>20</w:t>
      </w:r>
      <w:r>
        <w:rPr>
          <w:rFonts w:hint="eastAsia" w:ascii="宋体" w:hAnsi="宋体" w:eastAsia="宋体" w:cs="宋体"/>
          <w:color w:val="000000"/>
          <w:kern w:val="0"/>
          <w:sz w:val="28"/>
          <w:szCs w:val="28"/>
          <w:lang w:val="en-US" w:eastAsia="zh-CN" w:bidi="ar"/>
        </w:rPr>
        <w:t>余项，授权发明专利</w:t>
      </w:r>
      <w:r>
        <w:rPr>
          <w:rFonts w:hint="default" w:ascii="Times New Roman" w:hAnsi="Times New Roman" w:eastAsia="宋体" w:cs="Times New Roman"/>
          <w:color w:val="000000"/>
          <w:kern w:val="0"/>
          <w:sz w:val="28"/>
          <w:szCs w:val="28"/>
          <w:lang w:val="en-US" w:eastAsia="zh-CN" w:bidi="ar"/>
        </w:rPr>
        <w:t>120</w:t>
      </w:r>
      <w:r>
        <w:rPr>
          <w:rFonts w:hint="eastAsia" w:ascii="宋体" w:hAnsi="宋体" w:eastAsia="宋体" w:cs="宋体"/>
          <w:color w:val="000000"/>
          <w:kern w:val="0"/>
          <w:sz w:val="28"/>
          <w:szCs w:val="28"/>
          <w:lang w:val="en-US" w:eastAsia="zh-CN" w:bidi="ar"/>
        </w:rPr>
        <w:t>余项，发表论文</w:t>
      </w:r>
      <w:r>
        <w:rPr>
          <w:rFonts w:hint="default" w:ascii="Times New Roman" w:hAnsi="Times New Roman" w:eastAsia="宋体" w:cs="Times New Roman"/>
          <w:color w:val="000000"/>
          <w:kern w:val="0"/>
          <w:sz w:val="28"/>
          <w:szCs w:val="28"/>
          <w:lang w:val="en-US" w:eastAsia="zh-CN" w:bidi="ar"/>
        </w:rPr>
        <w:t>220</w:t>
      </w:r>
      <w:r>
        <w:rPr>
          <w:rFonts w:hint="eastAsia" w:ascii="宋体" w:hAnsi="宋体" w:eastAsia="宋体" w:cs="宋体"/>
          <w:color w:val="000000"/>
          <w:kern w:val="0"/>
          <w:sz w:val="28"/>
          <w:szCs w:val="28"/>
          <w:lang w:val="en-US" w:eastAsia="zh-CN" w:bidi="ar"/>
        </w:rPr>
        <w:t>余篇，其中</w:t>
      </w:r>
      <w:r>
        <w:rPr>
          <w:rFonts w:hint="default" w:ascii="Times New Roman" w:hAnsi="Times New Roman" w:eastAsia="宋体" w:cs="Times New Roman"/>
          <w:color w:val="000000"/>
          <w:kern w:val="0"/>
          <w:sz w:val="28"/>
          <w:szCs w:val="28"/>
          <w:lang w:val="en-US" w:eastAsia="zh-CN" w:bidi="ar"/>
        </w:rPr>
        <w:t>SCI</w:t>
      </w:r>
      <w:r>
        <w:rPr>
          <w:rFonts w:hint="eastAsia" w:ascii="宋体" w:hAnsi="宋体" w:eastAsia="宋体" w:cs="宋体"/>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EI</w:t>
      </w:r>
      <w:r>
        <w:rPr>
          <w:rFonts w:hint="eastAsia" w:ascii="宋体" w:hAnsi="宋体" w:eastAsia="宋体" w:cs="宋体"/>
          <w:color w:val="000000"/>
          <w:kern w:val="0"/>
          <w:sz w:val="28"/>
          <w:szCs w:val="28"/>
          <w:lang w:val="en-US" w:eastAsia="zh-CN" w:bidi="ar"/>
        </w:rPr>
        <w:t>检索</w:t>
      </w:r>
      <w:r>
        <w:rPr>
          <w:rFonts w:hint="default" w:ascii="Times New Roman" w:hAnsi="Times New Roman" w:eastAsia="宋体" w:cs="Times New Roman"/>
          <w:color w:val="000000"/>
          <w:kern w:val="0"/>
          <w:sz w:val="28"/>
          <w:szCs w:val="28"/>
          <w:lang w:val="en-US" w:eastAsia="zh-CN" w:bidi="ar"/>
        </w:rPr>
        <w:t>130</w:t>
      </w:r>
      <w:r>
        <w:rPr>
          <w:rFonts w:hint="eastAsia" w:ascii="宋体" w:hAnsi="宋体" w:eastAsia="宋体" w:cs="宋体"/>
          <w:color w:val="000000"/>
          <w:kern w:val="0"/>
          <w:sz w:val="28"/>
          <w:szCs w:val="28"/>
          <w:lang w:val="en-US" w:eastAsia="zh-CN" w:bidi="ar"/>
        </w:rPr>
        <w:t>余篇。</w:t>
      </w:r>
    </w:p>
    <w:p w14:paraId="248101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FF"/>
          <w:kern w:val="0"/>
          <w:sz w:val="28"/>
          <w:szCs w:val="28"/>
          <w:lang w:val="en-US" w:eastAsia="zh-CN" w:bidi="ar"/>
        </w:rPr>
      </w:pPr>
      <w:r>
        <w:rPr>
          <w:rFonts w:hint="eastAsia" w:ascii="楷体" w:hAnsi="楷体" w:eastAsia="楷体" w:cs="楷体"/>
          <w:color w:val="0000FF"/>
          <w:kern w:val="0"/>
          <w:sz w:val="28"/>
          <w:szCs w:val="28"/>
          <w:lang w:val="en-US" w:eastAsia="zh-CN" w:bidi="ar"/>
        </w:rPr>
        <w:t>（尽量用数据实实在在地呈现出主要的成果，除了以上的项目、获奖、论文、专利等，还可以描述学位点建设的声誉，如获得“双一流”学科。）</w:t>
      </w:r>
    </w:p>
    <w:p w14:paraId="7385FAF3">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14:paraId="5374BFEF">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S010201(Z010201) 培养目标 </w:t>
      </w:r>
    </w:p>
    <w:p w14:paraId="43785D25">
      <w:pPr>
        <w:pStyle w:val="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position w:val="1"/>
          <w:u w:val="single"/>
        </w:rPr>
      </w:pPr>
      <w:r>
        <w:rPr>
          <w:position w:val="1"/>
          <w:u w:val="single"/>
        </w:rPr>
        <w:t>内容：本学位点培养研究生的目标定位，限</w:t>
      </w:r>
      <w:r>
        <w:rPr>
          <w:rFonts w:ascii="Times New Roman" w:eastAsia="Times New Roman"/>
          <w:u w:val="single"/>
        </w:rPr>
        <w:t>300</w:t>
      </w:r>
      <w:r>
        <w:rPr>
          <w:position w:val="1"/>
          <w:u w:val="single"/>
        </w:rPr>
        <w:t>字。</w:t>
      </w:r>
    </w:p>
    <w:p w14:paraId="575DD719">
      <w:pPr>
        <w:keepNext w:val="0"/>
        <w:keepLines w:val="0"/>
        <w:pageBreakBefore w:val="0"/>
        <w:widowControl/>
        <w:suppressLineNumbers w:val="0"/>
        <w:kinsoku/>
        <w:wordWrap/>
        <w:overflowPunct/>
        <w:topLinePunct w:val="0"/>
        <w:autoSpaceDE/>
        <w:autoSpaceDN/>
        <w:bidi w:val="0"/>
        <w:adjustRightInd/>
        <w:snapToGrid/>
        <w:spacing w:before="157" w:beforeLines="50"/>
        <w:ind w:firstLine="560" w:firstLineChars="200"/>
        <w:jc w:val="left"/>
        <w:textAlignment w:val="auto"/>
        <w:rPr>
          <w:rFonts w:hint="eastAsia" w:ascii="宋体" w:hAnsi="宋体" w:eastAsia="宋体" w:cs="宋体"/>
          <w:color w:val="000000"/>
          <w:kern w:val="0"/>
          <w:sz w:val="28"/>
          <w:szCs w:val="28"/>
          <w:u w:val="none"/>
          <w:lang w:val="en-US" w:eastAsia="zh-CN" w:bidi="ar"/>
        </w:rPr>
      </w:pPr>
      <w:r>
        <w:rPr>
          <w:rFonts w:hint="eastAsia" w:ascii="宋体" w:hAnsi="宋体" w:eastAsia="宋体" w:cs="宋体"/>
          <w:color w:val="000000"/>
          <w:kern w:val="0"/>
          <w:sz w:val="28"/>
          <w:szCs w:val="28"/>
          <w:highlight w:val="none"/>
          <w:u w:val="none"/>
          <w:lang w:val="en-US" w:eastAsia="zh-CN" w:bidi="ar"/>
        </w:rPr>
        <w:t>坚持为党育人、为国育才，旨在通过系统化、创新性和前瞻性的教育体系，培养以习近平新时代中国特色社会主义思想为指导，拥护党的领导，厚植家国情怀，恪守学术道德</w:t>
      </w:r>
      <w:r>
        <w:rPr>
          <w:rFonts w:hint="eastAsia" w:ascii="楷体" w:hAnsi="楷体" w:eastAsia="楷体" w:cs="楷体"/>
          <w:color w:val="0000FF"/>
          <w:kern w:val="0"/>
          <w:sz w:val="28"/>
          <w:szCs w:val="28"/>
          <w:u w:val="none"/>
          <w:lang w:val="en-US" w:eastAsia="zh-CN" w:bidi="ar"/>
        </w:rPr>
        <w:t>（这一块是必要的）</w:t>
      </w: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u w:val="none"/>
          <w:lang w:val="en-US" w:eastAsia="zh-CN" w:bidi="ar"/>
        </w:rPr>
        <w:t>掌握机械工程学科的基础理论和专业知识，深入了解本领域的先进技术和发展动态</w:t>
      </w:r>
      <w:r>
        <w:rPr>
          <w:rFonts w:hint="eastAsia" w:ascii="楷体" w:hAnsi="楷体" w:eastAsia="楷体" w:cs="楷体"/>
          <w:color w:val="0000FF"/>
          <w:kern w:val="0"/>
          <w:sz w:val="28"/>
          <w:szCs w:val="28"/>
          <w:u w:val="none"/>
          <w:lang w:val="en-US" w:eastAsia="zh-CN" w:bidi="ar"/>
        </w:rPr>
        <w:t>（知识体系）</w:t>
      </w:r>
      <w:r>
        <w:rPr>
          <w:rFonts w:hint="eastAsia" w:ascii="宋体" w:hAnsi="宋体" w:eastAsia="宋体" w:cs="宋体"/>
          <w:color w:val="000000"/>
          <w:kern w:val="0"/>
          <w:sz w:val="28"/>
          <w:szCs w:val="28"/>
          <w:u w:val="none"/>
          <w:lang w:val="en-US" w:eastAsia="zh-CN" w:bidi="ar"/>
        </w:rPr>
        <w:t>；具有从事科学研究工作或独立担负专门技术工作的能力，能够解决与本领域相关的理论问题和工程技术问 题</w:t>
      </w:r>
      <w:r>
        <w:rPr>
          <w:rFonts w:hint="eastAsia" w:ascii="楷体" w:hAnsi="楷体" w:eastAsia="楷体" w:cs="楷体"/>
          <w:color w:val="0000FF"/>
          <w:kern w:val="0"/>
          <w:sz w:val="28"/>
          <w:szCs w:val="28"/>
          <w:u w:val="none"/>
          <w:lang w:val="en-US" w:eastAsia="zh-CN" w:bidi="ar"/>
        </w:rPr>
        <w:t>（能力目标）</w:t>
      </w:r>
      <w:r>
        <w:rPr>
          <w:rFonts w:hint="eastAsia" w:ascii="宋体" w:hAnsi="宋体" w:eastAsia="宋体" w:cs="宋体"/>
          <w:color w:val="000000"/>
          <w:kern w:val="0"/>
          <w:sz w:val="28"/>
          <w:szCs w:val="28"/>
          <w:u w:val="none"/>
          <w:lang w:val="en-US" w:eastAsia="zh-CN" w:bidi="ar"/>
        </w:rPr>
        <w:t>；具有创新精神、创造能力、创业素质，能够从事机械工程领域科技创新与技术开发、工程设计与实施、技术攻关与技术改造、工程规划与管理、新技术推广与应用等方面的创新型高级工程技术人才和工程管理人才</w:t>
      </w:r>
      <w:r>
        <w:rPr>
          <w:rFonts w:hint="eastAsia" w:ascii="楷体" w:hAnsi="楷体" w:eastAsia="楷体" w:cs="楷体"/>
          <w:color w:val="0000FF"/>
          <w:kern w:val="0"/>
          <w:sz w:val="28"/>
          <w:szCs w:val="28"/>
          <w:u w:val="none"/>
          <w:lang w:val="en-US" w:eastAsia="zh-CN" w:bidi="ar"/>
        </w:rPr>
        <w:t>（素质要求）</w:t>
      </w:r>
      <w:r>
        <w:rPr>
          <w:rFonts w:hint="eastAsia" w:ascii="宋体" w:hAnsi="宋体" w:eastAsia="宋体" w:cs="宋体"/>
          <w:color w:val="000000"/>
          <w:kern w:val="0"/>
          <w:sz w:val="28"/>
          <w:szCs w:val="28"/>
          <w:u w:val="none"/>
          <w:lang w:val="en-US" w:eastAsia="zh-CN" w:bidi="ar"/>
        </w:rPr>
        <w:t>。</w:t>
      </w:r>
    </w:p>
    <w:p w14:paraId="50C429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FF"/>
          <w:kern w:val="0"/>
          <w:sz w:val="28"/>
          <w:szCs w:val="28"/>
          <w:lang w:val="en-US" w:eastAsia="zh-CN" w:bidi="ar"/>
        </w:rPr>
      </w:pPr>
      <w:r>
        <w:rPr>
          <w:rFonts w:hint="eastAsia" w:ascii="楷体" w:hAnsi="楷体" w:eastAsia="楷体" w:cs="楷体"/>
          <w:color w:val="0000FF"/>
          <w:kern w:val="0"/>
          <w:sz w:val="28"/>
          <w:szCs w:val="28"/>
          <w:lang w:val="en-US" w:eastAsia="zh-CN" w:bidi="ar"/>
        </w:rPr>
        <w:t>（可以从人才培养的知识体系、能力目标与素质要求等方面等描述）</w:t>
      </w:r>
    </w:p>
    <w:p w14:paraId="758704AB">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ascii="黑体" w:hAnsi="宋体" w:eastAsia="黑体" w:cs="黑体"/>
          <w:color w:val="000000"/>
          <w:kern w:val="0"/>
          <w:sz w:val="31"/>
          <w:szCs w:val="31"/>
          <w:lang w:val="en-US" w:eastAsia="zh-CN" w:bidi="ar"/>
        </w:rPr>
        <w:t>S010202 培养方向与特色</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6586"/>
      </w:tblGrid>
      <w:tr w14:paraId="512A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36" w:type="dxa"/>
            <w:vAlign w:val="center"/>
          </w:tcPr>
          <w:p w14:paraId="60AC8FE0">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机械设计及理论</w:t>
            </w:r>
          </w:p>
        </w:tc>
        <w:tc>
          <w:tcPr>
            <w:tcW w:w="6586" w:type="dxa"/>
          </w:tcPr>
          <w:p w14:paraId="2CEDDD91">
            <w:pPr>
              <w:keepNext w:val="0"/>
              <w:keepLines w:val="0"/>
              <w:widowControl/>
              <w:suppressLineNumbers w:val="0"/>
              <w:ind w:firstLine="400" w:firstLineChars="200"/>
              <w:jc w:val="left"/>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0"/>
                <w:szCs w:val="20"/>
                <w:lang w:val="en-US" w:eastAsia="zh-CN" w:bidi="ar"/>
              </w:rPr>
              <w:t>围绕复杂机电产品设计理论与方法、机械系统动力学、数字化与智能化 设计等方向开展研究。在印品质量检测喷码系统、喷墨头控制系统研发、印 刷电子装备等方面具有鲜明特色和优势。承担国家自然科学基金、国家重点研发计划子课题等N多项，研发N类印后产品已在北京大恒等企业应用，获北京市科技奖项，法国发明博览会银奖；授权发明专利N余件；在《机械工程学报》等刊物发表SCI/EI论文N余篇；出版《数字化印刷装备发展研 究报告》（入选国家重点出版物规划）《印刷机械创新设计》等专著N部。</w:t>
            </w:r>
          </w:p>
        </w:tc>
      </w:tr>
    </w:tbl>
    <w:p w14:paraId="3A244F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FF"/>
          <w:kern w:val="0"/>
          <w:sz w:val="28"/>
          <w:szCs w:val="28"/>
          <w:lang w:val="en-US" w:eastAsia="zh-CN" w:bidi="ar"/>
        </w:rPr>
      </w:pPr>
      <w:r>
        <w:rPr>
          <w:rFonts w:hint="eastAsia" w:ascii="楷体" w:hAnsi="楷体" w:eastAsia="楷体" w:cs="楷体"/>
          <w:color w:val="0000FF"/>
          <w:kern w:val="0"/>
          <w:sz w:val="28"/>
          <w:szCs w:val="28"/>
          <w:lang w:val="en-US" w:eastAsia="zh-CN" w:bidi="ar"/>
        </w:rPr>
        <w:t>（介绍方向的研究领域、特色，并以数据呈现方向的优势）</w:t>
      </w:r>
    </w:p>
    <w:p w14:paraId="571E24AB">
      <w:pPr>
        <w:keepNext w:val="0"/>
        <w:keepLines w:val="0"/>
        <w:widowControl/>
        <w:suppressLineNumbers w:val="0"/>
        <w:jc w:val="left"/>
        <w:rPr>
          <w:rFonts w:ascii="黑体" w:hAnsi="宋体" w:eastAsia="黑体" w:cs="黑体"/>
          <w:color w:val="000000"/>
          <w:kern w:val="0"/>
          <w:sz w:val="31"/>
          <w:szCs w:val="31"/>
          <w:lang w:val="en-US" w:eastAsia="zh-CN" w:bidi="ar"/>
        </w:rPr>
      </w:pPr>
    </w:p>
    <w:p w14:paraId="712E5FEA">
      <w:pPr>
        <w:keepNext w:val="0"/>
        <w:keepLines w:val="0"/>
        <w:widowControl/>
        <w:suppressLineNumbers w:val="0"/>
        <w:jc w:val="left"/>
      </w:pPr>
      <w:r>
        <w:rPr>
          <w:rFonts w:ascii="黑体" w:hAnsi="宋体" w:eastAsia="黑体" w:cs="黑体"/>
          <w:color w:val="000000"/>
          <w:kern w:val="0"/>
          <w:sz w:val="31"/>
          <w:szCs w:val="31"/>
          <w:lang w:val="en-US" w:eastAsia="zh-CN" w:bidi="ar"/>
        </w:rPr>
        <w:t>S020101</w:t>
      </w:r>
      <w:r>
        <w:rPr>
          <w:rFonts w:hint="eastAsia" w:ascii="黑体" w:hAnsi="宋体" w:eastAsia="黑体" w:cs="黑体"/>
          <w:color w:val="000000"/>
          <w:kern w:val="0"/>
          <w:sz w:val="31"/>
          <w:szCs w:val="31"/>
          <w:lang w:val="en-US" w:eastAsia="zh-CN" w:bidi="ar"/>
        </w:rPr>
        <w:t>(Z</w:t>
      </w:r>
      <w:r>
        <w:rPr>
          <w:rFonts w:ascii="黑体" w:hAnsi="宋体" w:eastAsia="黑体" w:cs="黑体"/>
          <w:color w:val="000000"/>
          <w:kern w:val="0"/>
          <w:sz w:val="31"/>
          <w:szCs w:val="31"/>
          <w:lang w:val="en-US" w:eastAsia="zh-CN" w:bidi="ar"/>
        </w:rPr>
        <w:t>020101</w:t>
      </w:r>
      <w:r>
        <w:rPr>
          <w:rFonts w:hint="eastAsia" w:ascii="黑体" w:hAnsi="宋体" w:eastAsia="黑体" w:cs="黑体"/>
          <w:color w:val="000000"/>
          <w:kern w:val="0"/>
          <w:sz w:val="31"/>
          <w:szCs w:val="31"/>
          <w:lang w:val="en-US" w:eastAsia="zh-CN" w:bidi="ar"/>
        </w:rPr>
        <w:t>)</w:t>
      </w:r>
      <w:r>
        <w:rPr>
          <w:rFonts w:ascii="黑体" w:hAnsi="宋体" w:eastAsia="黑体" w:cs="黑体"/>
          <w:color w:val="000000"/>
          <w:kern w:val="0"/>
          <w:sz w:val="31"/>
          <w:szCs w:val="31"/>
          <w:lang w:val="en-US" w:eastAsia="zh-CN" w:bidi="ar"/>
        </w:rPr>
        <w:t xml:space="preserve"> 导师责任落实情况 </w:t>
      </w:r>
    </w:p>
    <w:p w14:paraId="637FE813">
      <w:pPr>
        <w:pStyle w:val="9"/>
        <w:keepNext w:val="0"/>
        <w:keepLines w:val="0"/>
        <w:pageBreakBefore w:val="0"/>
        <w:widowControl w:val="0"/>
        <w:numPr>
          <w:ilvl w:val="0"/>
          <w:numId w:val="0"/>
        </w:numPr>
        <w:tabs>
          <w:tab w:val="left" w:pos="1072"/>
        </w:tabs>
        <w:kinsoku/>
        <w:wordWrap/>
        <w:overflowPunct/>
        <w:topLinePunct w:val="0"/>
        <w:autoSpaceDE/>
        <w:autoSpaceDN/>
        <w:bidi w:val="0"/>
        <w:adjustRightInd/>
        <w:snapToGrid/>
        <w:spacing w:line="500" w:lineRule="exact"/>
        <w:ind w:right="397" w:rightChars="0" w:firstLine="560" w:firstLineChars="200"/>
        <w:jc w:val="both"/>
        <w:textAlignment w:val="auto"/>
        <w:rPr>
          <w:sz w:val="28"/>
          <w:u w:val="single"/>
        </w:rPr>
      </w:pPr>
      <w:r>
        <w:rPr>
          <w:position w:val="1"/>
          <w:sz w:val="28"/>
          <w:u w:val="single"/>
        </w:rPr>
        <w:t>内容：统计时间段内，在提升研究生导师工作水平、营造和谐</w:t>
      </w:r>
      <w:r>
        <w:rPr>
          <w:spacing w:val="-10"/>
          <w:sz w:val="28"/>
          <w:u w:val="single"/>
        </w:rPr>
        <w:t>师生关系，落实《研究生导师指导行为准则》文件精神，发挥导师在</w:t>
      </w:r>
      <w:r>
        <w:rPr>
          <w:spacing w:val="-7"/>
          <w:position w:val="1"/>
          <w:sz w:val="28"/>
          <w:u w:val="single"/>
        </w:rPr>
        <w:t>研究生思政教育中“第一责任人”的作用方面的成效，限</w:t>
      </w:r>
      <w:r>
        <w:rPr>
          <w:rFonts w:ascii="Times New Roman" w:hAnsi="Times New Roman" w:eastAsia="Times New Roman"/>
          <w:sz w:val="28"/>
          <w:u w:val="single"/>
        </w:rPr>
        <w:t>300</w:t>
      </w:r>
      <w:r>
        <w:rPr>
          <w:position w:val="1"/>
          <w:sz w:val="28"/>
          <w:u w:val="single"/>
        </w:rPr>
        <w:t>字。</w:t>
      </w:r>
    </w:p>
    <w:p w14:paraId="3521F82C">
      <w:pPr>
        <w:keepNext w:val="0"/>
        <w:keepLines w:val="0"/>
        <w:pageBreakBefore w:val="0"/>
        <w:widowControl/>
        <w:suppressLineNumbers w:val="0"/>
        <w:kinsoku/>
        <w:wordWrap/>
        <w:overflowPunct/>
        <w:topLinePunct w:val="0"/>
        <w:autoSpaceDE/>
        <w:autoSpaceDN/>
        <w:bidi w:val="0"/>
        <w:adjustRightInd/>
        <w:snapToGrid/>
        <w:spacing w:before="157" w:beforeLines="50"/>
        <w:ind w:firstLine="560" w:firstLineChars="200"/>
        <w:jc w:val="left"/>
        <w:textAlignment w:val="auto"/>
        <w:rPr>
          <w:rFonts w:hint="eastAsia"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highlight w:val="yellow"/>
          <w:lang w:val="en-US" w:eastAsia="zh-CN" w:bidi="ar"/>
        </w:rPr>
        <w:t>参考模板一：</w:t>
      </w:r>
    </w:p>
    <w:p w14:paraId="200A39F8">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一是通过导师培训与考核机制，提升导师的指导能力和育人水平，确保研究生培养质量。学校定期组织学术道德、师德师风建设培训，提高导师的责任意识与业务素养。</w:t>
      </w:r>
    </w:p>
    <w:p w14:paraId="562D44EE">
      <w:pPr>
        <w:keepNext w:val="0"/>
        <w:keepLines w:val="0"/>
        <w:widowControl/>
        <w:suppressLineNumbers w:val="0"/>
        <w:ind w:firstLine="560" w:firstLineChars="200"/>
        <w:jc w:val="left"/>
        <w:rPr>
          <w:sz w:val="28"/>
          <w:szCs w:val="28"/>
        </w:rPr>
      </w:pPr>
      <w:r>
        <w:rPr>
          <w:rFonts w:hint="eastAsia" w:ascii="宋体" w:hAnsi="宋体" w:eastAsia="宋体" w:cs="宋体"/>
          <w:color w:val="000000"/>
          <w:kern w:val="0"/>
          <w:sz w:val="28"/>
          <w:szCs w:val="28"/>
          <w:lang w:val="en-US" w:eastAsia="zh-CN" w:bidi="ar"/>
        </w:rPr>
        <w:t>二是构建和谐师生关系，实施“双向选择”与定期交流机制，鼓励导师与学生建立紧密的学术指导与思想关怀体系。通过师生座谈会、学术研讨、心理关怀等方式，增强师生互动，营造积极向上的学术氛围。</w:t>
      </w:r>
    </w:p>
    <w:p w14:paraId="0F3DB08B">
      <w:pPr>
        <w:keepNext w:val="0"/>
        <w:keepLines w:val="0"/>
        <w:widowControl/>
        <w:suppressLineNumbers w:val="0"/>
        <w:ind w:firstLine="560" w:firstLineChars="200"/>
        <w:jc w:val="left"/>
        <w:rPr>
          <w:rFonts w:hint="eastAsia"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lang w:val="en-US" w:eastAsia="zh-CN" w:bidi="ar"/>
        </w:rPr>
        <w:t>三是强化导师思政教育责任，结合课程思政与科研实践，推动科研育人、实践育人。导师在科研项目中融入价值引领，引导研究生树立正确的学术观、价值观，培养具有社会责任感和创新精神的高层次人才。</w:t>
      </w:r>
    </w:p>
    <w:p w14:paraId="40E0980E">
      <w:pPr>
        <w:keepNext w:val="0"/>
        <w:keepLines w:val="0"/>
        <w:pageBreakBefore w:val="0"/>
        <w:widowControl/>
        <w:suppressLineNumbers w:val="0"/>
        <w:kinsoku/>
        <w:wordWrap/>
        <w:overflowPunct/>
        <w:topLinePunct w:val="0"/>
        <w:autoSpaceDE/>
        <w:autoSpaceDN/>
        <w:bidi w:val="0"/>
        <w:adjustRightInd/>
        <w:snapToGrid/>
        <w:spacing w:before="157" w:beforeLines="50"/>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highlight w:val="yellow"/>
          <w:lang w:val="en-US" w:eastAsia="zh-CN" w:bidi="ar"/>
        </w:rPr>
        <w:t>参考模板二：</w:t>
      </w:r>
    </w:p>
    <w:p w14:paraId="7E2960C7">
      <w:pPr>
        <w:keepNext w:val="0"/>
        <w:keepLines w:val="0"/>
        <w:pageBreakBefore w:val="0"/>
        <w:widowControl/>
        <w:suppressLineNumbers w:val="0"/>
        <w:kinsoku/>
        <w:wordWrap/>
        <w:overflowPunct/>
        <w:topLinePunct w:val="0"/>
        <w:autoSpaceDE/>
        <w:autoSpaceDN/>
        <w:bidi w:val="0"/>
        <w:adjustRightInd/>
        <w:snapToGrid/>
        <w:spacing w:before="157" w:beforeLines="50"/>
        <w:ind w:firstLine="560" w:firstLineChars="200"/>
        <w:jc w:val="left"/>
        <w:textAlignment w:val="auto"/>
      </w:pPr>
      <w:r>
        <w:rPr>
          <w:rFonts w:hint="eastAsia" w:ascii="宋体" w:hAnsi="宋体" w:eastAsia="宋体" w:cs="宋体"/>
          <w:color w:val="000000"/>
          <w:kern w:val="0"/>
          <w:sz w:val="28"/>
          <w:szCs w:val="28"/>
          <w:lang w:val="en-US" w:eastAsia="zh-CN" w:bidi="ar"/>
        </w:rPr>
        <w:t>研究生导师是我国研究生培养的关键力量，肩负培养国家高层次创新人才的使命与重任，学位点全面落实《研究生导师指导行为准则》，在强化导师思政教育</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第一责任人</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作用方面，采取以下措施：一是完善导师考核机制，依据《北京印刷学院硕士研究生指导教师考核办法》对导师进行系统评估；二是强化《行为准则》学习，重点落实</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十个不得</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要求；三是将厚植家国情怀、服务国家战略融入科研培养全流程。三年来，研究生紧扣国家战略急需紧缺方向的论文选题数量逐年增长，学生以第一作者发表高水平论文数量比上一周期增长了225%；毕业生继续深造比例上升至17.5%，工信部火炬高技术产业开发中心、外交部、中航集团、中国机械工业建设集团、广州印钞有限公司、南京造币厂等用人单位对本学科毕业生质量均给予高度认可。</w:t>
      </w:r>
    </w:p>
    <w:p w14:paraId="3C99DD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FF"/>
          <w:kern w:val="0"/>
          <w:sz w:val="28"/>
          <w:szCs w:val="28"/>
          <w:lang w:val="en-US" w:eastAsia="zh-CN" w:bidi="ar"/>
        </w:rPr>
      </w:pPr>
      <w:r>
        <w:rPr>
          <w:rFonts w:hint="eastAsia" w:ascii="楷体" w:hAnsi="楷体" w:eastAsia="楷体" w:cs="楷体"/>
          <w:color w:val="0000FF"/>
          <w:kern w:val="0"/>
          <w:sz w:val="28"/>
          <w:szCs w:val="28"/>
          <w:lang w:val="en-US" w:eastAsia="zh-CN" w:bidi="ar"/>
        </w:rPr>
        <w:t>（在这里，提一下题目中点到的导师责任落实的措施，然后主要讲成效，如导师育人水平的提升、导学关系的融洽、育人第一责任发挥的效果即研究生取得的成果及进步等）</w:t>
      </w:r>
    </w:p>
    <w:p w14:paraId="5BFB10F5">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14:paraId="5120DD96">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S020102 实验室、科研团队等党建情况 </w:t>
      </w:r>
    </w:p>
    <w:p w14:paraId="09FC3D2B">
      <w:pPr>
        <w:pStyle w:val="9"/>
        <w:keepNext w:val="0"/>
        <w:keepLines w:val="0"/>
        <w:pageBreakBefore w:val="0"/>
        <w:widowControl w:val="0"/>
        <w:numPr>
          <w:ilvl w:val="0"/>
          <w:numId w:val="0"/>
        </w:numPr>
        <w:tabs>
          <w:tab w:val="left" w:pos="1072"/>
        </w:tabs>
        <w:kinsoku/>
        <w:wordWrap/>
        <w:overflowPunct/>
        <w:topLinePunct w:val="0"/>
        <w:autoSpaceDE/>
        <w:autoSpaceDN/>
        <w:bidi w:val="0"/>
        <w:adjustRightInd/>
        <w:snapToGrid/>
        <w:spacing w:line="500" w:lineRule="exact"/>
        <w:ind w:right="397" w:rightChars="0" w:firstLine="560" w:firstLineChars="200"/>
        <w:jc w:val="both"/>
        <w:textAlignment w:val="auto"/>
        <w:rPr>
          <w:sz w:val="28"/>
          <w:u w:val="single"/>
        </w:rPr>
      </w:pPr>
      <w:r>
        <w:rPr>
          <w:position w:val="1"/>
          <w:sz w:val="28"/>
          <w:u w:val="single"/>
        </w:rPr>
        <w:t>内容：统计时间段内，在全面推进党的各项工作，着力扩大党</w:t>
      </w:r>
      <w:r>
        <w:rPr>
          <w:spacing w:val="-12"/>
          <w:sz w:val="28"/>
          <w:u w:val="single"/>
        </w:rPr>
        <w:t>组织覆盖面，有效发挥基层党组织战斗堡垒作用和党员先锋模范作用</w:t>
      </w:r>
      <w:r>
        <w:rPr>
          <w:spacing w:val="-9"/>
          <w:position w:val="1"/>
          <w:sz w:val="28"/>
          <w:u w:val="single"/>
        </w:rPr>
        <w:t>方面采取的创新举措和取得的成效，限</w:t>
      </w:r>
      <w:r>
        <w:rPr>
          <w:rFonts w:ascii="Times New Roman" w:eastAsia="Times New Roman"/>
          <w:sz w:val="28"/>
          <w:u w:val="single"/>
        </w:rPr>
        <w:t>300</w:t>
      </w:r>
      <w:r>
        <w:rPr>
          <w:position w:val="1"/>
          <w:sz w:val="28"/>
          <w:u w:val="single"/>
        </w:rPr>
        <w:t>字。</w:t>
      </w:r>
    </w:p>
    <w:p w14:paraId="04C84502">
      <w:pPr>
        <w:keepNext w:val="0"/>
        <w:keepLines w:val="0"/>
        <w:pageBreakBefore w:val="0"/>
        <w:widowControl/>
        <w:suppressLineNumbers w:val="0"/>
        <w:kinsoku/>
        <w:wordWrap/>
        <w:overflowPunct/>
        <w:topLinePunct w:val="0"/>
        <w:autoSpaceDE/>
        <w:autoSpaceDN/>
        <w:bidi w:val="0"/>
        <w:adjustRightInd/>
        <w:snapToGrid/>
        <w:spacing w:before="157" w:beforeLines="50"/>
        <w:ind w:firstLine="560" w:firstLineChars="200"/>
        <w:jc w:val="left"/>
        <w:textAlignment w:val="auto"/>
        <w:rPr>
          <w:rFonts w:hint="default"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highlight w:val="yellow"/>
          <w:lang w:val="en-US" w:eastAsia="zh-CN" w:bidi="ar"/>
        </w:rPr>
        <w:t>参考模板一：</w:t>
      </w:r>
    </w:p>
    <w:p w14:paraId="5DCBC1C1">
      <w:pPr>
        <w:keepNext w:val="0"/>
        <w:keepLines w:val="0"/>
        <w:widowControl/>
        <w:suppressLineNumbers w:val="0"/>
        <w:ind w:firstLine="560" w:firstLineChars="200"/>
        <w:jc w:val="left"/>
        <w:rPr>
          <w:rFonts w:ascii="Times New Roman" w:eastAsia="Times New Roman"/>
        </w:rPr>
      </w:pPr>
      <w:r>
        <w:rPr>
          <w:rFonts w:hint="eastAsia" w:ascii="宋体" w:hAnsi="宋体" w:eastAsia="宋体" w:cs="宋体"/>
          <w:color w:val="000000"/>
          <w:kern w:val="0"/>
          <w:sz w:val="28"/>
          <w:szCs w:val="28"/>
          <w:lang w:val="en-US" w:eastAsia="zh-CN" w:bidi="ar"/>
        </w:rPr>
        <w:t>学院着力打造</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红帆</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党建特色工作模式，创新构建</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师生支部融合共建</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机制，推动党建工作与人才培养深度融合。目前三个教师党支部书记</w:t>
      </w:r>
      <w:r>
        <w:rPr>
          <w:rFonts w:hint="default" w:ascii="Times New Roman" w:hAnsi="Times New Roman" w:eastAsia="宋体" w:cs="Times New Roman"/>
          <w:color w:val="000000"/>
          <w:kern w:val="0"/>
          <w:sz w:val="28"/>
          <w:szCs w:val="28"/>
          <w:lang w:val="en-US" w:eastAsia="zh-CN" w:bidi="ar"/>
        </w:rPr>
        <w:t>100%</w:t>
      </w:r>
      <w:r>
        <w:rPr>
          <w:rFonts w:hint="eastAsia" w:ascii="宋体" w:hAnsi="宋体" w:eastAsia="宋体" w:cs="宋体"/>
          <w:color w:val="000000"/>
          <w:kern w:val="0"/>
          <w:sz w:val="28"/>
          <w:szCs w:val="28"/>
          <w:lang w:val="en-US" w:eastAsia="zh-CN" w:bidi="ar"/>
        </w:rPr>
        <w:t>为</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双带头人</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，研究生党支部选拔优秀学生党员为支部书记，</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头雁</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作用发挥明显。研究生党员以教师实验室团队为单位，融合实践教学与思政学习，通过实施</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双导师制</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，教师导师专业指导、党员教师思想引领双轮驱动，推动党建与研究生培养深度互促。打造</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产教融合</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实践平台，建立</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党建</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就业</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联动模式，将学生的研究课题与企业实际需求对接，促成校企联合培养基地建设。创新性开展党员</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科研先锋岗</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创建活动，申报学生科创项目多项。系列举措成效显著，近三年研究生入党比例提升至</w:t>
      </w:r>
      <w:r>
        <w:rPr>
          <w:rFonts w:hint="default" w:ascii="Times New Roman" w:hAnsi="Times New Roman" w:eastAsia="宋体" w:cs="Times New Roman"/>
          <w:color w:val="000000"/>
          <w:kern w:val="0"/>
          <w:sz w:val="28"/>
          <w:szCs w:val="28"/>
          <w:lang w:val="en-US" w:eastAsia="zh-CN" w:bidi="ar"/>
        </w:rPr>
        <w:t>39%</w:t>
      </w:r>
      <w:r>
        <w:rPr>
          <w:rFonts w:hint="eastAsia" w:ascii="宋体" w:hAnsi="宋体" w:eastAsia="宋体" w:cs="宋体"/>
          <w:color w:val="000000"/>
          <w:kern w:val="0"/>
          <w:sz w:val="28"/>
          <w:szCs w:val="28"/>
          <w:lang w:val="en-US" w:eastAsia="zh-CN" w:bidi="ar"/>
        </w:rPr>
        <w:t>，学生党员获省级以上科创奖励多项，毕业生党员就业率达</w:t>
      </w:r>
      <w:r>
        <w:rPr>
          <w:rFonts w:hint="default" w:ascii="Times New Roman" w:hAnsi="Times New Roman" w:eastAsia="宋体" w:cs="Times New Roman"/>
          <w:color w:val="000000"/>
          <w:kern w:val="0"/>
          <w:sz w:val="28"/>
          <w:szCs w:val="28"/>
          <w:lang w:val="en-US" w:eastAsia="zh-CN" w:bidi="ar"/>
        </w:rPr>
        <w:t>100%</w:t>
      </w:r>
      <w:r>
        <w:rPr>
          <w:rFonts w:hint="eastAsia" w:ascii="宋体" w:hAnsi="宋体" w:eastAsia="宋体" w:cs="宋体"/>
          <w:color w:val="000000"/>
          <w:kern w:val="0"/>
          <w:sz w:val="28"/>
          <w:szCs w:val="28"/>
          <w:lang w:val="en-US" w:eastAsia="zh-CN" w:bidi="ar"/>
        </w:rPr>
        <w:t>，切实将组织优势转化为育人实效，构建起党建引领高质量发展的新格局。</w:t>
      </w:r>
    </w:p>
    <w:p w14:paraId="4A1BE6B3">
      <w:pPr>
        <w:keepNext w:val="0"/>
        <w:keepLines w:val="0"/>
        <w:widowControl/>
        <w:suppressLineNumbers w:val="0"/>
        <w:ind w:firstLine="560" w:firstLineChars="200"/>
        <w:jc w:val="left"/>
        <w:rPr>
          <w:rFonts w:hint="eastAsia" w:ascii="宋体" w:hAnsi="宋体" w:eastAsia="宋体" w:cs="宋体"/>
          <w:color w:val="000000"/>
          <w:kern w:val="0"/>
          <w:sz w:val="28"/>
          <w:szCs w:val="28"/>
          <w:highlight w:val="yellow"/>
          <w:lang w:val="en-US" w:eastAsia="zh-CN" w:bidi="ar"/>
        </w:rPr>
      </w:pPr>
    </w:p>
    <w:p w14:paraId="4E5A0731">
      <w:pPr>
        <w:keepNext w:val="0"/>
        <w:keepLines w:val="0"/>
        <w:widowControl/>
        <w:suppressLineNumbers w:val="0"/>
        <w:ind w:firstLine="560" w:firstLineChars="200"/>
        <w:jc w:val="left"/>
        <w:rPr>
          <w:rFonts w:hint="eastAsia" w:ascii="宋体" w:hAnsi="宋体" w:eastAsia="宋体" w:cs="宋体"/>
          <w:color w:val="000000"/>
          <w:kern w:val="0"/>
          <w:sz w:val="27"/>
          <w:szCs w:val="27"/>
          <w:lang w:val="en-US" w:eastAsia="zh-CN" w:bidi="ar"/>
        </w:rPr>
      </w:pPr>
      <w:r>
        <w:rPr>
          <w:rFonts w:hint="eastAsia" w:ascii="宋体" w:hAnsi="宋体" w:eastAsia="宋体" w:cs="宋体"/>
          <w:color w:val="000000"/>
          <w:kern w:val="0"/>
          <w:sz w:val="28"/>
          <w:szCs w:val="28"/>
          <w:highlight w:val="yellow"/>
          <w:lang w:val="en-US" w:eastAsia="zh-CN" w:bidi="ar"/>
        </w:rPr>
        <w:t>参考模板二：</w:t>
      </w:r>
    </w:p>
    <w:p w14:paraId="55D4ECAA">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1.完善基层党组织架构</w:t>
      </w:r>
      <w:r>
        <w:rPr>
          <w:rFonts w:hint="eastAsia" w:ascii="宋体" w:hAnsi="宋体" w:eastAsia="宋体" w:cs="宋体"/>
          <w:color w:val="000000"/>
          <w:kern w:val="0"/>
          <w:sz w:val="28"/>
          <w:szCs w:val="28"/>
          <w:lang w:val="en-US" w:eastAsia="zh-CN" w:bidi="ar"/>
        </w:rPr>
        <w:t>。在实验室、科研团队中设立师生联合党支部，覆盖北京市重点实验室、新闻出版业科技与标准重点实验室等科研平台，实现“科研项目推进到哪里，党组织就建设到哪里”。依托国家级一流本科专业建设点，由党员教师牵头完成专业认证工作，形成“党员领衔、团队协同”的示范模式。</w:t>
      </w:r>
    </w:p>
    <w:p w14:paraId="418AED88">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2.创新党员教育载体</w:t>
      </w:r>
      <w:r>
        <w:rPr>
          <w:rFonts w:hint="eastAsia" w:ascii="宋体" w:hAnsi="宋体" w:eastAsia="宋体" w:cs="宋体"/>
          <w:color w:val="000000"/>
          <w:kern w:val="0"/>
          <w:sz w:val="28"/>
          <w:szCs w:val="28"/>
          <w:lang w:val="en-US" w:eastAsia="zh-CN" w:bidi="ar"/>
        </w:rPr>
        <w:t xml:space="preserve">。将主题党日与科研攻关结合，组织党员团队开展“DeepSeek赋能人工智能专业教育”主题党日等专项攻关。党员教师段建勇领衔，举办多模态智能计算创新应用论坛等。 </w:t>
      </w:r>
    </w:p>
    <w:p w14:paraId="4A62CAD1">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3.发挥党员先锋作用</w:t>
      </w:r>
      <w:r>
        <w:rPr>
          <w:rFonts w:hint="eastAsia" w:ascii="宋体" w:hAnsi="宋体" w:eastAsia="宋体" w:cs="宋体"/>
          <w:color w:val="000000"/>
          <w:kern w:val="0"/>
          <w:sz w:val="28"/>
          <w:szCs w:val="28"/>
          <w:lang w:val="en-US" w:eastAsia="zh-CN" w:bidi="ar"/>
        </w:rPr>
        <w:t>。组建党员突击队，在疫情期间完成冬奥会网络安全保障等10项国家级任务。党员教师指导学生团队90%获奖项目，由党员教师担任指导。</w:t>
      </w:r>
    </w:p>
    <w:p w14:paraId="6451800E">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left"/>
        <w:textAlignment w:val="auto"/>
        <w:rPr>
          <w:rFonts w:hint="eastAsia" w:ascii="楷体" w:hAnsi="楷体" w:eastAsia="楷体" w:cs="楷体"/>
          <w:color w:val="0000FF"/>
          <w:kern w:val="0"/>
          <w:sz w:val="28"/>
          <w:szCs w:val="28"/>
          <w:lang w:val="en-US" w:eastAsia="zh-CN" w:bidi="ar"/>
        </w:rPr>
      </w:pPr>
      <w:r>
        <w:rPr>
          <w:rFonts w:hint="eastAsia" w:ascii="楷体" w:hAnsi="楷体" w:eastAsia="楷体" w:cs="楷体"/>
          <w:color w:val="0000FF"/>
          <w:kern w:val="0"/>
          <w:sz w:val="28"/>
          <w:szCs w:val="28"/>
          <w:lang w:val="en-US" w:eastAsia="zh-CN" w:bidi="ar"/>
        </w:rPr>
        <w:t>（描述学位点实验室、科研团队的特色党建模式、举措，及基层党组织发挥堡垒作用和研究生党员发挥先锋作用的成效，科研能力的提升，科研成果的丰硕产出）</w:t>
      </w:r>
    </w:p>
    <w:p w14:paraId="2068F300">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14:paraId="30ADDE5B">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14:paraId="1CC124A7">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14:paraId="695FE34B">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14:paraId="2557F9AC">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S020202(Z020202)研究生主要课程开设情况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6833"/>
      </w:tblGrid>
      <w:tr w14:paraId="12C0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trPr>
        <w:tc>
          <w:tcPr>
            <w:tcW w:w="1689" w:type="dxa"/>
            <w:vAlign w:val="center"/>
          </w:tcPr>
          <w:p w14:paraId="32B01F65">
            <w:pPr>
              <w:keepNext w:val="0"/>
              <w:keepLines w:val="0"/>
              <w:widowControl/>
              <w:suppressLineNumbers w:val="0"/>
              <w:jc w:val="center"/>
              <w:rPr>
                <w:b w:val="0"/>
                <w:bCs w:val="0"/>
                <w:sz w:val="28"/>
                <w:szCs w:val="28"/>
              </w:rPr>
            </w:pPr>
            <w:r>
              <w:rPr>
                <w:rFonts w:hint="eastAsia" w:ascii="宋体" w:hAnsi="宋体" w:eastAsia="宋体" w:cs="宋体"/>
                <w:b w:val="0"/>
                <w:bCs w:val="0"/>
                <w:color w:val="000000"/>
                <w:kern w:val="0"/>
                <w:sz w:val="28"/>
                <w:szCs w:val="28"/>
                <w:lang w:val="en-US" w:eastAsia="zh-CN" w:bidi="ar"/>
              </w:rPr>
              <w:t>机器学习</w:t>
            </w:r>
          </w:p>
          <w:p w14:paraId="18EB3529">
            <w:pPr>
              <w:pStyle w:val="3"/>
              <w:spacing w:before="115"/>
              <w:jc w:val="center"/>
              <w:rPr>
                <w:rFonts w:ascii="Times New Roman" w:eastAsia="Times New Roman"/>
                <w:vertAlign w:val="baseline"/>
              </w:rPr>
            </w:pPr>
          </w:p>
        </w:tc>
        <w:tc>
          <w:tcPr>
            <w:tcW w:w="6833" w:type="dxa"/>
          </w:tcPr>
          <w:p w14:paraId="69B88DF3">
            <w:pPr>
              <w:keepNext w:val="0"/>
              <w:keepLines w:val="0"/>
              <w:widowControl/>
              <w:suppressLineNumbers w:val="0"/>
              <w:jc w:val="left"/>
              <w:rPr>
                <w:rFonts w:hint="eastAsia" w:ascii="Times New Roman" w:eastAsia="宋体"/>
                <w:vertAlign w:val="baseline"/>
                <w:lang w:eastAsia="zh-CN"/>
              </w:rPr>
            </w:pPr>
            <w:r>
              <w:rPr>
                <w:rFonts w:hint="eastAsia" w:ascii="宋体" w:hAnsi="宋体" w:eastAsia="宋体" w:cs="宋体"/>
                <w:color w:val="000000"/>
                <w:kern w:val="0"/>
                <w:sz w:val="21"/>
                <w:szCs w:val="21"/>
                <w:lang w:val="en-US" w:eastAsia="zh-CN" w:bidi="ar"/>
              </w:rPr>
              <w:t xml:space="preserve">本课程是信息与通信工程学科中一门重要的课程，旨在帮助学生掌握机器学习的基本理论、算法及其在实际应用中的使用方法。它是一门多领域交叉学科，涉及概率论、统计学、线性代数等多个学科，主要研究计算机如何通过数据学习，以实现对未知数据的预测和分类。课程内容包括机器学习的基本概念、模型评估与选择方法、线性分类模型、支持向量机、贝叶斯方法、神经网络、深度学习、聚类分析等。通过学习，学生将能够理解机器学习的核心思想和算法原理，并能够将这些理论应用于解决实际问题。教学方 法包括课堂讲授、实验操作和项目实践。课堂讲授主要介绍理论知识和算法原理，实验操作则通过编程实践帮助学生加深对算法的理解和应用能力。此外，课程还强调案例教学，通过分析典型应用实例，使学生能够更好地理解机器学习在不同领域的应用。课程要求学生具备一定的数学基础，如高等数学、线性代数和概率论，以及编程能力。学生需要积极参与课堂讨论，完成课后作业和实验项目，并在课程结束时提交一个综合性的课程项目。通过本课程的学习，学生将具备在 数据科学、人工智能等领域从事研究和开发工作的能力。 </w:t>
            </w:r>
          </w:p>
        </w:tc>
      </w:tr>
    </w:tbl>
    <w:p w14:paraId="71976736">
      <w:pPr>
        <w:pStyle w:val="3"/>
        <w:keepNext w:val="0"/>
        <w:keepLines w:val="0"/>
        <w:pageBreakBefore w:val="0"/>
        <w:widowControl w:val="0"/>
        <w:kinsoku/>
        <w:wordWrap/>
        <w:overflowPunct/>
        <w:topLinePunct w:val="0"/>
        <w:autoSpaceDE/>
        <w:autoSpaceDN/>
        <w:bidi w:val="0"/>
        <w:adjustRightInd/>
        <w:snapToGrid/>
        <w:spacing w:before="0" w:line="400" w:lineRule="exact"/>
        <w:ind w:left="380"/>
        <w:textAlignment w:val="auto"/>
        <w:rPr>
          <w:rFonts w:hint="eastAsia" w:ascii="楷体" w:hAnsi="楷体" w:eastAsia="楷体" w:cs="楷体"/>
          <w:b w:val="0"/>
          <w:bCs w:val="0"/>
          <w:color w:val="0000FF"/>
          <w:kern w:val="0"/>
          <w:sz w:val="28"/>
          <w:szCs w:val="28"/>
          <w:lang w:val="en-US" w:eastAsia="zh-CN" w:bidi="ar"/>
        </w:rPr>
      </w:pPr>
      <w:r>
        <w:rPr>
          <w:rFonts w:hint="eastAsia" w:ascii="楷体" w:hAnsi="楷体" w:eastAsia="楷体" w:cs="楷体"/>
          <w:b w:val="0"/>
          <w:bCs w:val="0"/>
          <w:color w:val="0000FF"/>
          <w:kern w:val="0"/>
          <w:sz w:val="28"/>
          <w:szCs w:val="28"/>
          <w:lang w:val="en-US" w:eastAsia="zh-CN" w:bidi="ar"/>
        </w:rPr>
        <w:t>（课程在本学科中的地位，授课对象，课程涉及的主要知识类别，课程的主要教学内容、课程的教学目标，课程对学生素质能力的基本需求）</w:t>
      </w:r>
    </w:p>
    <w:p w14:paraId="58F752B0">
      <w:pPr>
        <w:pStyle w:val="3"/>
        <w:spacing w:before="115"/>
        <w:rPr>
          <w:rFonts w:hint="eastAsia" w:ascii="黑体" w:hAnsi="宋体" w:eastAsia="黑体" w:cs="黑体"/>
          <w:b w:val="0"/>
          <w:bCs w:val="0"/>
          <w:color w:val="000000"/>
          <w:kern w:val="0"/>
          <w:sz w:val="31"/>
          <w:szCs w:val="31"/>
          <w:lang w:val="en-US" w:eastAsia="zh-CN" w:bidi="ar"/>
        </w:rPr>
      </w:pPr>
    </w:p>
    <w:p w14:paraId="7889DC2D">
      <w:pPr>
        <w:pStyle w:val="3"/>
        <w:spacing w:before="115"/>
        <w:rPr>
          <w:rFonts w:hint="eastAsia" w:ascii="黑体" w:hAnsi="宋体" w:eastAsia="黑体" w:cs="黑体"/>
          <w:b w:val="0"/>
          <w:bCs w:val="0"/>
          <w:color w:val="000000"/>
          <w:kern w:val="0"/>
          <w:sz w:val="31"/>
          <w:szCs w:val="31"/>
          <w:lang w:val="en-US" w:eastAsia="zh-CN" w:bidi="ar"/>
        </w:rPr>
      </w:pPr>
      <w:r>
        <w:rPr>
          <w:rFonts w:hint="eastAsia" w:ascii="黑体" w:hAnsi="宋体" w:eastAsia="黑体" w:cs="黑体"/>
          <w:b w:val="0"/>
          <w:bCs w:val="0"/>
          <w:color w:val="000000"/>
          <w:kern w:val="0"/>
          <w:sz w:val="31"/>
          <w:szCs w:val="31"/>
          <w:lang w:val="en-US" w:eastAsia="zh-CN" w:bidi="ar"/>
        </w:rPr>
        <w:t>S020206(Z020210) 人才培养质量保证情况</w:t>
      </w:r>
    </w:p>
    <w:p w14:paraId="62E0BD3D">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36" w:firstLineChars="200"/>
        <w:textAlignment w:val="auto"/>
        <w:rPr>
          <w:rFonts w:hint="eastAsia" w:ascii="宋体" w:hAnsi="宋体" w:eastAsia="宋体" w:cs="宋体"/>
          <w:color w:val="000000"/>
          <w:kern w:val="0"/>
          <w:sz w:val="28"/>
          <w:szCs w:val="28"/>
          <w:u w:val="single"/>
          <w:lang w:val="en-US" w:eastAsia="zh-CN" w:bidi="ar"/>
        </w:rPr>
      </w:pPr>
      <w:r>
        <w:rPr>
          <w:spacing w:val="-6"/>
          <w:u w:val="single"/>
        </w:rPr>
        <w:t>内容：统计时间段内，研究生培养全过程监控与质量保证、加</w:t>
      </w:r>
      <w:r>
        <w:rPr>
          <w:spacing w:val="-7"/>
          <w:u w:val="single"/>
        </w:rPr>
        <w:t>强学位论文和学位授予管理等情况。</w:t>
      </w:r>
      <w:r>
        <w:rPr>
          <w:spacing w:val="-3"/>
          <w:u w:val="single"/>
        </w:rPr>
        <w:t>（</w:t>
      </w:r>
      <w:r>
        <w:rPr>
          <w:spacing w:val="-7"/>
          <w:u w:val="single"/>
        </w:rPr>
        <w:t>可参照《关于进一步严格规范</w:t>
      </w:r>
      <w:r>
        <w:rPr>
          <w:spacing w:val="-1"/>
          <w:u w:val="single"/>
        </w:rPr>
        <w:t>学位与研究生教育管理的若干意见》</w:t>
      </w:r>
      <w:r>
        <w:rPr>
          <w:spacing w:val="4"/>
          <w:u w:val="single"/>
        </w:rPr>
        <w:t>（</w:t>
      </w:r>
      <w:r>
        <w:rPr>
          <w:spacing w:val="1"/>
          <w:u w:val="single"/>
        </w:rPr>
        <w:t>学位〔</w:t>
      </w:r>
      <w:r>
        <w:rPr>
          <w:rFonts w:ascii="Times New Roman" w:eastAsia="Times New Roman"/>
          <w:u w:val="single"/>
        </w:rPr>
        <w:t>2020</w:t>
      </w:r>
      <w:r>
        <w:rPr>
          <w:u w:val="single"/>
        </w:rPr>
        <w:t>〕</w:t>
      </w:r>
      <w:r>
        <w:rPr>
          <w:rFonts w:ascii="Times New Roman" w:eastAsia="Times New Roman"/>
          <w:u w:val="single"/>
        </w:rPr>
        <w:t xml:space="preserve">19 </w:t>
      </w:r>
      <w:r>
        <w:rPr>
          <w:u w:val="single"/>
        </w:rPr>
        <w:t>号</w:t>
      </w:r>
      <w:r>
        <w:rPr>
          <w:spacing w:val="4"/>
          <w:u w:val="single"/>
        </w:rPr>
        <w:t>）</w:t>
      </w:r>
      <w:r>
        <w:rPr>
          <w:spacing w:val="1"/>
          <w:u w:val="single"/>
        </w:rPr>
        <w:t>对照填写）</w:t>
      </w:r>
      <w:r>
        <w:rPr>
          <w:spacing w:val="-23"/>
          <w:u w:val="single"/>
        </w:rPr>
        <w:t>，限</w:t>
      </w:r>
      <w:r>
        <w:rPr>
          <w:rFonts w:ascii="Times New Roman" w:eastAsia="Times New Roman"/>
          <w:u w:val="single"/>
        </w:rPr>
        <w:t>500</w:t>
      </w:r>
      <w:r>
        <w:rPr>
          <w:u w:val="single"/>
        </w:rPr>
        <w:t>字。</w:t>
      </w:r>
    </w:p>
    <w:p w14:paraId="2235593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line="360" w:lineRule="auto"/>
        <w:ind w:right="0" w:rightChars="0" w:firstLine="560" w:firstLineChars="200"/>
        <w:textAlignment w:val="auto"/>
        <w:rPr>
          <w:rFonts w:hint="eastAsia" w:ascii="宋体" w:hAnsi="宋体" w:eastAsia="宋体" w:cs="宋体"/>
          <w:color w:val="000000"/>
          <w:kern w:val="0"/>
          <w:sz w:val="28"/>
          <w:szCs w:val="28"/>
          <w:lang w:val="zh-CN" w:eastAsia="zh-CN" w:bidi="ar"/>
        </w:rPr>
      </w:pPr>
      <w:r>
        <w:rPr>
          <w:rFonts w:hint="eastAsia" w:ascii="宋体" w:hAnsi="宋体" w:eastAsia="宋体" w:cs="宋体"/>
          <w:color w:val="000000"/>
          <w:kern w:val="0"/>
          <w:sz w:val="28"/>
          <w:szCs w:val="28"/>
          <w:lang w:val="en-US" w:eastAsia="zh-CN" w:bidi="ar"/>
        </w:rPr>
        <w:t>一、</w:t>
      </w:r>
      <w:r>
        <w:rPr>
          <w:rFonts w:hint="eastAsia" w:ascii="宋体" w:hAnsi="宋体" w:eastAsia="宋体" w:cs="宋体"/>
          <w:color w:val="000000"/>
          <w:kern w:val="0"/>
          <w:sz w:val="28"/>
          <w:szCs w:val="28"/>
          <w:lang w:val="zh-CN" w:eastAsia="zh-CN" w:bidi="ar"/>
        </w:rPr>
        <w:t>构建研究生培养全过程监控与质量保障体系。学校建立了多维度的质量监控体系，确保研究生培养的全过程规范化与高质量。通过定期开展教学检查、学生评教、教学观摩等活动，对教学过程进行全程监督。同时，完善教师教学、学生工作及毕业设计（论文）质量评价标准，并构建毕业生质量跟踪反馈系统，持续改进教学质量。此外，学校采用学校检查与教学单位自查相结合、常规检查与随机抽查相结合的方式，提高教学检查的针对性和实效性。这些举措共同构成了全面、系统的质量保障框架。</w:t>
      </w:r>
    </w:p>
    <w:p w14:paraId="02DB59BC">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ascii="宋体" w:hAnsi="宋体" w:eastAsia="宋体" w:cs="宋体"/>
          <w:color w:val="000000"/>
          <w:kern w:val="0"/>
          <w:sz w:val="28"/>
          <w:szCs w:val="28"/>
          <w:lang w:val="zh-CN" w:eastAsia="zh-CN" w:bidi="ar"/>
        </w:rPr>
      </w:pPr>
      <w:r>
        <w:rPr>
          <w:rFonts w:hint="eastAsia" w:ascii="宋体" w:hAnsi="宋体" w:eastAsia="宋体" w:cs="宋体"/>
          <w:color w:val="000000"/>
          <w:kern w:val="0"/>
          <w:sz w:val="28"/>
          <w:szCs w:val="28"/>
          <w:lang w:val="en-US" w:eastAsia="zh-CN" w:bidi="ar"/>
        </w:rPr>
        <w:t>二、</w:t>
      </w:r>
      <w:r>
        <w:rPr>
          <w:rFonts w:hint="eastAsia" w:ascii="宋体" w:hAnsi="宋体" w:eastAsia="宋体" w:cs="宋体"/>
          <w:color w:val="000000"/>
          <w:kern w:val="0"/>
          <w:sz w:val="28"/>
          <w:szCs w:val="28"/>
          <w:lang w:val="zh-CN" w:eastAsia="zh-CN" w:bidi="ar"/>
        </w:rPr>
        <w:t>严格规范学位论文与学位授予的管理。在学位论文和学位授予管理方面，学校制定了严格制度。学位论文全程监控，从选题、开题到中期检查、撰写和答辩，每个环节都有明确规范。学校引入智能检测系统，确保论文格式规范。学位授予环节严格遵循《中华人民共和国学位条例》，由学位评定委员会审议论文质量和学术水平，保障学位授予的严谨性。这些措施有效提升了学位论文质量和学位授予的权威性。</w:t>
      </w:r>
    </w:p>
    <w:p w14:paraId="6E0AFA60">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三、</w:t>
      </w:r>
      <w:r>
        <w:rPr>
          <w:rFonts w:hint="eastAsia" w:ascii="宋体" w:hAnsi="宋体" w:eastAsia="宋体" w:cs="宋体"/>
          <w:color w:val="000000"/>
          <w:kern w:val="0"/>
          <w:sz w:val="28"/>
          <w:szCs w:val="28"/>
          <w:lang w:val="zh-CN" w:eastAsia="zh-CN" w:bidi="ar"/>
        </w:rPr>
        <w:t>完善与实施分流淘汰机制。在分流淘汰机制方面，学校加大考核与淘汰力度，通过严格的中期考核和论文审核制度，动态监测研究生学业进展。对于不适合继续攻读学位的学生，学校畅通分流渠道，及时分流或淘汰。这一机制保障了研究生教育质量，同时为学生提供了合理的发展路径选择，确保每位学生都能在适合自己的轨道上发展。</w:t>
      </w:r>
      <w:r>
        <w:rPr>
          <w:rFonts w:hint="eastAsia" w:ascii="宋体" w:hAnsi="宋体" w:eastAsia="宋体" w:cs="宋体"/>
          <w:color w:val="000000"/>
          <w:kern w:val="0"/>
          <w:sz w:val="27"/>
          <w:szCs w:val="27"/>
          <w:lang w:val="en-US" w:eastAsia="zh-CN" w:bidi="ar"/>
        </w:rPr>
        <w:t>近三年来，无淘汰情况出现。</w:t>
      </w:r>
    </w:p>
    <w:p w14:paraId="604C6B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color w:val="0000FF"/>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w:t>
      </w:r>
      <w:r>
        <w:rPr>
          <w:rFonts w:hint="eastAsia" w:ascii="楷体" w:hAnsi="楷体" w:eastAsia="楷体" w:cs="楷体"/>
          <w:b w:val="0"/>
          <w:bCs w:val="0"/>
          <w:color w:val="0000FF"/>
          <w:kern w:val="0"/>
          <w:sz w:val="28"/>
          <w:szCs w:val="28"/>
          <w:lang w:val="en-US" w:eastAsia="zh-CN" w:bidi="ar"/>
        </w:rPr>
        <w:t>（这块文字较多，限500字，一般可按内容提示分为三段式来写，每一段都是写相关机制或制度落实以及取得的效果）</w:t>
      </w:r>
    </w:p>
    <w:p w14:paraId="75552E89">
      <w:pPr>
        <w:keepNext w:val="0"/>
        <w:keepLines w:val="0"/>
        <w:widowControl/>
        <w:suppressLineNumbers w:val="0"/>
        <w:jc w:val="left"/>
        <w:rPr>
          <w:rFonts w:ascii="黑体" w:hAnsi="宋体" w:eastAsia="黑体" w:cs="黑体"/>
          <w:color w:val="000000"/>
          <w:kern w:val="0"/>
          <w:sz w:val="31"/>
          <w:szCs w:val="31"/>
          <w:lang w:val="en-US" w:eastAsia="zh-CN" w:bidi="ar"/>
        </w:rPr>
      </w:pPr>
    </w:p>
    <w:p w14:paraId="5443330B">
      <w:pPr>
        <w:keepNext w:val="0"/>
        <w:keepLines w:val="0"/>
        <w:widowControl/>
        <w:suppressLineNumbers w:val="0"/>
        <w:jc w:val="left"/>
        <w:rPr>
          <w:rFonts w:ascii="黑体" w:hAnsi="宋体" w:eastAsia="黑体" w:cs="黑体"/>
          <w:color w:val="000000"/>
          <w:kern w:val="0"/>
          <w:sz w:val="31"/>
          <w:szCs w:val="31"/>
          <w:lang w:val="en-US" w:eastAsia="zh-CN" w:bidi="ar"/>
        </w:rPr>
      </w:pPr>
    </w:p>
    <w:p w14:paraId="01675E88">
      <w:pPr>
        <w:keepNext w:val="0"/>
        <w:keepLines w:val="0"/>
        <w:widowControl/>
        <w:suppressLineNumbers w:val="0"/>
        <w:jc w:val="left"/>
        <w:rPr>
          <w:rFonts w:ascii="黑体" w:hAnsi="宋体" w:eastAsia="黑体" w:cs="黑体"/>
          <w:color w:val="000000"/>
          <w:kern w:val="0"/>
          <w:sz w:val="31"/>
          <w:szCs w:val="31"/>
          <w:lang w:val="en-US" w:eastAsia="zh-CN" w:bidi="ar"/>
        </w:rPr>
      </w:pPr>
    </w:p>
    <w:p w14:paraId="57629FC6">
      <w:pPr>
        <w:keepNext w:val="0"/>
        <w:keepLines w:val="0"/>
        <w:widowControl/>
        <w:suppressLineNumbers w:val="0"/>
        <w:jc w:val="left"/>
        <w:rPr>
          <w:rFonts w:ascii="黑体" w:hAnsi="宋体" w:eastAsia="黑体" w:cs="黑体"/>
          <w:color w:val="000000"/>
          <w:kern w:val="0"/>
          <w:sz w:val="31"/>
          <w:szCs w:val="31"/>
          <w:lang w:val="en-US" w:eastAsia="zh-CN" w:bidi="ar"/>
        </w:rPr>
      </w:pPr>
    </w:p>
    <w:p w14:paraId="13A3C1CF">
      <w:pPr>
        <w:keepNext w:val="0"/>
        <w:keepLines w:val="0"/>
        <w:widowControl/>
        <w:suppressLineNumbers w:val="0"/>
        <w:jc w:val="left"/>
        <w:rPr>
          <w:rFonts w:ascii="黑体" w:hAnsi="宋体" w:eastAsia="黑体" w:cs="黑体"/>
          <w:color w:val="000000"/>
          <w:kern w:val="0"/>
          <w:sz w:val="31"/>
          <w:szCs w:val="31"/>
          <w:lang w:val="en-US" w:eastAsia="zh-CN" w:bidi="ar"/>
        </w:rPr>
      </w:pPr>
    </w:p>
    <w:p w14:paraId="07F447D1">
      <w:pPr>
        <w:keepNext w:val="0"/>
        <w:keepLines w:val="0"/>
        <w:widowControl/>
        <w:suppressLineNumbers w:val="0"/>
        <w:jc w:val="left"/>
        <w:rPr>
          <w:rFonts w:ascii="黑体" w:hAnsi="宋体" w:eastAsia="黑体" w:cs="黑体"/>
          <w:color w:val="000000"/>
          <w:kern w:val="0"/>
          <w:sz w:val="31"/>
          <w:szCs w:val="31"/>
          <w:lang w:val="en-US" w:eastAsia="zh-CN" w:bidi="ar"/>
        </w:rPr>
      </w:pPr>
    </w:p>
    <w:p w14:paraId="05E67CD0">
      <w:pPr>
        <w:keepNext w:val="0"/>
        <w:keepLines w:val="0"/>
        <w:widowControl/>
        <w:suppressLineNumbers w:val="0"/>
        <w:jc w:val="left"/>
      </w:pPr>
      <w:r>
        <w:rPr>
          <w:rFonts w:ascii="黑体" w:hAnsi="宋体" w:eastAsia="黑体" w:cs="黑体"/>
          <w:color w:val="000000"/>
          <w:kern w:val="0"/>
          <w:sz w:val="31"/>
          <w:szCs w:val="31"/>
          <w:lang w:val="en-US" w:eastAsia="zh-CN" w:bidi="ar"/>
        </w:rPr>
        <w:t>S030101</w:t>
      </w:r>
      <w:r>
        <w:rPr>
          <w:rFonts w:hint="eastAsia" w:ascii="黑体" w:hAnsi="宋体" w:eastAsia="黑体" w:cs="黑体"/>
          <w:color w:val="000000"/>
          <w:kern w:val="0"/>
          <w:sz w:val="31"/>
          <w:szCs w:val="31"/>
          <w:lang w:val="en-US" w:eastAsia="zh-CN" w:bidi="ar"/>
        </w:rPr>
        <w:t>(Z</w:t>
      </w:r>
      <w:r>
        <w:rPr>
          <w:rFonts w:ascii="黑体" w:hAnsi="宋体" w:eastAsia="黑体" w:cs="黑体"/>
          <w:color w:val="000000"/>
          <w:kern w:val="0"/>
          <w:sz w:val="31"/>
          <w:szCs w:val="31"/>
          <w:lang w:val="en-US" w:eastAsia="zh-CN" w:bidi="ar"/>
        </w:rPr>
        <w:t>030101</w:t>
      </w:r>
      <w:r>
        <w:rPr>
          <w:rFonts w:hint="eastAsia" w:ascii="黑体" w:hAnsi="宋体" w:eastAsia="黑体" w:cs="黑体"/>
          <w:color w:val="000000"/>
          <w:kern w:val="0"/>
          <w:sz w:val="31"/>
          <w:szCs w:val="31"/>
          <w:lang w:val="en-US" w:eastAsia="zh-CN" w:bidi="ar"/>
        </w:rPr>
        <w:t>)</w:t>
      </w:r>
      <w:r>
        <w:rPr>
          <w:rFonts w:ascii="黑体" w:hAnsi="宋体" w:eastAsia="黑体" w:cs="黑体"/>
          <w:color w:val="000000"/>
          <w:kern w:val="0"/>
          <w:sz w:val="31"/>
          <w:szCs w:val="31"/>
          <w:lang w:val="en-US" w:eastAsia="zh-CN" w:bidi="ar"/>
        </w:rPr>
        <w:t xml:space="preserve"> 师德师风建设情况 </w:t>
      </w:r>
    </w:p>
    <w:p w14:paraId="716A6697">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b w:val="0"/>
          <w:bCs w:val="0"/>
          <w:sz w:val="28"/>
          <w:szCs w:val="28"/>
          <w:u w:val="single"/>
        </w:rPr>
      </w:pPr>
      <w:r>
        <w:rPr>
          <w:rFonts w:hint="eastAsia" w:ascii="宋体" w:hAnsi="宋体" w:eastAsia="宋体" w:cs="宋体"/>
          <w:b w:val="0"/>
          <w:bCs w:val="0"/>
          <w:color w:val="000000"/>
          <w:kern w:val="0"/>
          <w:sz w:val="28"/>
          <w:szCs w:val="28"/>
          <w:u w:val="single"/>
          <w:lang w:val="en-US" w:eastAsia="zh-CN" w:bidi="ar"/>
        </w:rPr>
        <w:t>内容：统计时间段内，在师德教育、宣传、考核、监督、奖励等方面进展；入选全国优秀教师先进典型情况，以及师德师风负面问题情况等，限300字。</w:t>
      </w:r>
    </w:p>
    <w:p w14:paraId="1A74E333">
      <w:pPr>
        <w:keepNext w:val="0"/>
        <w:keepLines w:val="0"/>
        <w:pageBreakBefore w:val="0"/>
        <w:widowControl/>
        <w:suppressLineNumbers w:val="0"/>
        <w:kinsoku/>
        <w:wordWrap/>
        <w:overflowPunct/>
        <w:topLinePunct w:val="0"/>
        <w:autoSpaceDE/>
        <w:autoSpaceDN/>
        <w:bidi w:val="0"/>
        <w:adjustRightInd/>
        <w:snapToGrid/>
        <w:spacing w:before="157" w:beforeLines="50"/>
        <w:ind w:firstLine="560" w:firstLineChars="200"/>
        <w:jc w:val="left"/>
        <w:textAlignment w:val="auto"/>
        <w:rPr>
          <w:rFonts w:hint="default"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highlight w:val="yellow"/>
          <w:lang w:val="en-US" w:eastAsia="zh-CN" w:bidi="ar"/>
        </w:rPr>
        <w:t>参考模板一：</w:t>
      </w:r>
    </w:p>
    <w:p w14:paraId="1AECDB51">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学科建立了统计学系党支部统一领导、支部书记和责任教授齐抓共管的工作机制。通过成立师德建设小组，负责本学科师德建设的长期规划和统筹协调工作，监督教师的思想品行和学术行为。 </w:t>
      </w:r>
    </w:p>
    <w:p w14:paraId="304C8E35">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学科特别注重制度与学科建设的融合，形成一整套考核、检查、约束制度，有效地保障了师德与学风建设，取得了显著成果。2024年崔玉杰老师获北京市“教书育人先锋”、徐礼文老师获校级先进工作者。2022年徐嗣棪老师获校教书育人先进个人、优秀共产党员。 </w:t>
      </w:r>
    </w:p>
    <w:p w14:paraId="6B42131E">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每年邀请主管研究生教育的副校长给学科教学科研骨进行师德培训和学术研究规范讲座。学院和学科将师德考核作为年度考核专项内容，师德考核结果通知本人并存入教师档案。三年来师德师风受到学生好评。</w:t>
      </w:r>
    </w:p>
    <w:p w14:paraId="5D93FFA4">
      <w:pPr>
        <w:keepNext w:val="0"/>
        <w:keepLines w:val="0"/>
        <w:widowControl/>
        <w:suppressLineNumbers w:val="0"/>
        <w:ind w:firstLine="560" w:firstLineChars="200"/>
        <w:jc w:val="left"/>
        <w:rPr>
          <w:rFonts w:hint="default"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highlight w:val="yellow"/>
          <w:lang w:val="en-US" w:eastAsia="zh-CN" w:bidi="ar"/>
        </w:rPr>
        <w:t>参考模板二：</w:t>
      </w:r>
    </w:p>
    <w:p w14:paraId="389869A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为响应《关于加强和改进新时代师德师风建设的意见》，本学位点高度重视师德师风建设，通过优秀教师事迹展览、入职教育、报告会、资深教授的讲座分享、培训等师德师风专题教育活动，以我校国家级、市级教学名师、“我心目中的大先生”等先进教职工的事迹为案例，向教职工生动展现良好师德的内涵与魅力。学位点将师德师风作为评价教师的首要标准，建立了完善的师德师风监督评价机制，从教学指导、学术引领等多个维度进行全面评估，及时发现并纠正可能存在的师德问题，通过多方面的不懈努力，师德师风建设取得新成效。目前，学院导师没有发现教师因师德师风不正、违反法 律法规、学术不端等被查处或通报的情况。</w:t>
      </w:r>
    </w:p>
    <w:p w14:paraId="1DEC5E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color w:val="0000FF"/>
          <w:kern w:val="0"/>
          <w:sz w:val="28"/>
          <w:szCs w:val="28"/>
          <w:lang w:val="en-US" w:eastAsia="zh-CN" w:bidi="ar"/>
        </w:rPr>
      </w:pPr>
      <w:r>
        <w:rPr>
          <w:rFonts w:hint="eastAsia" w:ascii="楷体" w:hAnsi="楷体" w:eastAsia="楷体" w:cs="楷体"/>
          <w:b w:val="0"/>
          <w:bCs w:val="0"/>
          <w:color w:val="0000FF"/>
          <w:kern w:val="0"/>
          <w:sz w:val="28"/>
          <w:szCs w:val="28"/>
          <w:lang w:val="en-US" w:eastAsia="zh-CN" w:bidi="ar"/>
        </w:rPr>
        <w:t>（指在师德教育、宣传、考核、评优等方面的举措和取得的成效，如师德先进典型等，优秀研究生导师、心目中的大先生、师德先进个人等）</w:t>
      </w:r>
    </w:p>
    <w:p w14:paraId="28C0D3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color w:val="0000FF"/>
          <w:kern w:val="0"/>
          <w:sz w:val="28"/>
          <w:szCs w:val="28"/>
          <w:lang w:val="en-US" w:eastAsia="zh-CN" w:bidi="ar"/>
        </w:rPr>
      </w:pPr>
    </w:p>
    <w:p w14:paraId="6BBDC9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color w:val="0000FF"/>
          <w:kern w:val="0"/>
          <w:sz w:val="28"/>
          <w:szCs w:val="28"/>
          <w:lang w:val="en-US" w:eastAsia="zh-CN" w:bidi="ar"/>
        </w:rPr>
      </w:pPr>
    </w:p>
    <w:p w14:paraId="105E9786">
      <w:pPr>
        <w:keepNext w:val="0"/>
        <w:keepLines w:val="0"/>
        <w:widowControl/>
        <w:suppressLineNumbers w:val="0"/>
        <w:jc w:val="left"/>
      </w:pPr>
      <w:r>
        <w:rPr>
          <w:rFonts w:ascii="黑体" w:hAnsi="宋体" w:eastAsia="黑体" w:cs="黑体"/>
          <w:color w:val="000000"/>
          <w:kern w:val="0"/>
          <w:sz w:val="31"/>
          <w:szCs w:val="31"/>
          <w:lang w:val="en-US" w:eastAsia="zh-CN" w:bidi="ar"/>
        </w:rPr>
        <w:t>S0</w:t>
      </w:r>
      <w:r>
        <w:rPr>
          <w:rFonts w:hint="eastAsia" w:ascii="黑体" w:hAnsi="宋体" w:eastAsia="黑体" w:cs="黑体"/>
          <w:color w:val="000000"/>
          <w:kern w:val="0"/>
          <w:sz w:val="31"/>
          <w:szCs w:val="31"/>
          <w:lang w:val="en-US" w:eastAsia="zh-CN" w:bidi="ar"/>
        </w:rPr>
        <w:t>4</w:t>
      </w:r>
      <w:r>
        <w:rPr>
          <w:rFonts w:ascii="黑体" w:hAnsi="宋体" w:eastAsia="黑体" w:cs="黑体"/>
          <w:color w:val="000000"/>
          <w:kern w:val="0"/>
          <w:sz w:val="31"/>
          <w:szCs w:val="31"/>
          <w:lang w:val="en-US" w:eastAsia="zh-CN" w:bidi="ar"/>
        </w:rPr>
        <w:t>0</w:t>
      </w:r>
      <w:r>
        <w:rPr>
          <w:rFonts w:hint="eastAsia" w:ascii="黑体" w:hAnsi="宋体" w:eastAsia="黑体" w:cs="黑体"/>
          <w:color w:val="000000"/>
          <w:kern w:val="0"/>
          <w:sz w:val="31"/>
          <w:szCs w:val="31"/>
          <w:lang w:val="en-US" w:eastAsia="zh-CN" w:bidi="ar"/>
        </w:rPr>
        <w:t>1</w:t>
      </w:r>
      <w:r>
        <w:rPr>
          <w:rFonts w:ascii="黑体" w:hAnsi="宋体" w:eastAsia="黑体" w:cs="黑体"/>
          <w:color w:val="000000"/>
          <w:kern w:val="0"/>
          <w:sz w:val="31"/>
          <w:szCs w:val="31"/>
          <w:lang w:val="en-US" w:eastAsia="zh-CN" w:bidi="ar"/>
        </w:rPr>
        <w:t>0</w:t>
      </w:r>
      <w:r>
        <w:rPr>
          <w:rFonts w:hint="eastAsia" w:ascii="黑体" w:hAnsi="宋体" w:eastAsia="黑体" w:cs="黑体"/>
          <w:color w:val="000000"/>
          <w:kern w:val="0"/>
          <w:sz w:val="31"/>
          <w:szCs w:val="31"/>
          <w:lang w:val="en-US" w:eastAsia="zh-CN" w:bidi="ar"/>
        </w:rPr>
        <w:t>2</w:t>
      </w:r>
      <w:r>
        <w:rPr>
          <w:rFonts w:ascii="黑体" w:hAnsi="宋体" w:eastAsia="黑体" w:cs="黑体"/>
          <w:color w:val="000000"/>
          <w:kern w:val="0"/>
          <w:sz w:val="31"/>
          <w:szCs w:val="31"/>
          <w:lang w:val="en-US" w:eastAsia="zh-CN" w:bidi="ar"/>
        </w:rPr>
        <w:t xml:space="preserve"> </w:t>
      </w:r>
      <w:r>
        <w:rPr>
          <w:rFonts w:hint="eastAsia" w:ascii="黑体" w:hAnsi="宋体" w:eastAsia="黑体" w:cs="黑体"/>
          <w:color w:val="000000"/>
          <w:kern w:val="0"/>
          <w:sz w:val="31"/>
          <w:szCs w:val="31"/>
          <w:lang w:val="en-US" w:eastAsia="zh-CN" w:bidi="ar"/>
        </w:rPr>
        <w:t>专任教师公开出版的专著</w:t>
      </w:r>
      <w:r>
        <w:rPr>
          <w:rFonts w:ascii="黑体" w:hAnsi="宋体" w:eastAsia="黑体" w:cs="黑体"/>
          <w:color w:val="000000"/>
          <w:kern w:val="0"/>
          <w:sz w:val="31"/>
          <w:szCs w:val="31"/>
          <w:lang w:val="en-US" w:eastAsia="zh-CN" w:bidi="ar"/>
        </w:rPr>
        <w:t xml:space="preserve"> </w:t>
      </w:r>
    </w:p>
    <w:p w14:paraId="231AE98C">
      <w:pPr>
        <w:pStyle w:val="4"/>
        <w:keepNext w:val="0"/>
        <w:keepLines w:val="0"/>
        <w:pageBreakBefore w:val="0"/>
        <w:widowControl w:val="0"/>
        <w:kinsoku/>
        <w:wordWrap/>
        <w:overflowPunct/>
        <w:topLinePunct w:val="0"/>
        <w:autoSpaceDE/>
        <w:autoSpaceDN/>
        <w:bidi w:val="0"/>
        <w:adjustRightInd/>
        <w:snapToGrid/>
        <w:spacing w:line="500" w:lineRule="exact"/>
        <w:ind w:left="0" w:leftChars="0" w:right="397" w:firstLine="560" w:firstLineChars="200"/>
        <w:jc w:val="both"/>
        <w:textAlignment w:val="auto"/>
        <w:rPr>
          <w:rFonts w:hint="eastAsia"/>
          <w:u w:val="single"/>
        </w:rPr>
      </w:pPr>
      <w:r>
        <w:rPr>
          <w:rFonts w:hint="eastAsia"/>
          <w:u w:val="single"/>
        </w:rPr>
        <w:t>1.内容：统计时间段内学位点专任教师以第一完成人公开出版的具有较高学术水平的学术专著情况。</w:t>
      </w:r>
    </w:p>
    <w:p w14:paraId="033D33D4">
      <w:pPr>
        <w:pStyle w:val="4"/>
        <w:keepNext w:val="0"/>
        <w:keepLines w:val="0"/>
        <w:pageBreakBefore w:val="0"/>
        <w:widowControl w:val="0"/>
        <w:kinsoku/>
        <w:wordWrap/>
        <w:overflowPunct/>
        <w:topLinePunct w:val="0"/>
        <w:autoSpaceDE/>
        <w:autoSpaceDN/>
        <w:bidi w:val="0"/>
        <w:adjustRightInd/>
        <w:snapToGrid/>
        <w:spacing w:line="500" w:lineRule="exact"/>
        <w:ind w:left="0" w:leftChars="0" w:right="397" w:firstLine="560" w:firstLineChars="200"/>
        <w:jc w:val="both"/>
        <w:textAlignment w:val="auto"/>
        <w:rPr>
          <w:rFonts w:hint="eastAsia"/>
          <w:u w:val="single"/>
        </w:rPr>
      </w:pPr>
      <w:r>
        <w:rPr>
          <w:rFonts w:hint="eastAsia"/>
          <w:u w:val="single"/>
        </w:rPr>
        <w:t>2.专著名称：专著的主副标题，再版以最新版本为准。</w:t>
      </w:r>
    </w:p>
    <w:p w14:paraId="5779C373">
      <w:pPr>
        <w:pStyle w:val="4"/>
        <w:keepNext w:val="0"/>
        <w:keepLines w:val="0"/>
        <w:pageBreakBefore w:val="0"/>
        <w:widowControl w:val="0"/>
        <w:kinsoku/>
        <w:wordWrap/>
        <w:overflowPunct/>
        <w:topLinePunct w:val="0"/>
        <w:autoSpaceDE/>
        <w:autoSpaceDN/>
        <w:bidi w:val="0"/>
        <w:adjustRightInd/>
        <w:snapToGrid/>
        <w:spacing w:line="500" w:lineRule="exact"/>
        <w:ind w:left="0" w:leftChars="0" w:right="397" w:firstLine="560" w:firstLineChars="200"/>
        <w:jc w:val="both"/>
        <w:textAlignment w:val="auto"/>
        <w:rPr>
          <w:rFonts w:hint="eastAsia"/>
          <w:u w:val="single"/>
        </w:rPr>
      </w:pPr>
      <w:r>
        <w:rPr>
          <w:rFonts w:hint="eastAsia"/>
          <w:u w:val="single"/>
        </w:rPr>
        <w:t>学术贡献及影响力：获奖情况等贡献和影响力说明，限50字。</w:t>
      </w:r>
    </w:p>
    <w:p w14:paraId="40E24440">
      <w:pPr>
        <w:pStyle w:val="4"/>
        <w:keepNext w:val="0"/>
        <w:keepLines w:val="0"/>
        <w:pageBreakBefore w:val="0"/>
        <w:widowControl w:val="0"/>
        <w:kinsoku/>
        <w:wordWrap/>
        <w:overflowPunct/>
        <w:topLinePunct w:val="0"/>
        <w:autoSpaceDE/>
        <w:autoSpaceDN/>
        <w:bidi w:val="0"/>
        <w:adjustRightInd/>
        <w:snapToGrid/>
        <w:spacing w:line="500" w:lineRule="exact"/>
        <w:ind w:left="0" w:leftChars="0" w:right="397" w:firstLine="560" w:firstLineChars="200"/>
        <w:jc w:val="both"/>
        <w:textAlignment w:val="auto"/>
        <w:rPr>
          <w:rFonts w:hint="eastAsia"/>
          <w:u w:val="single"/>
        </w:rPr>
      </w:pPr>
    </w:p>
    <w:tbl>
      <w:tblPr>
        <w:tblStyle w:val="11"/>
        <w:tblW w:w="50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7"/>
        <w:gridCol w:w="1888"/>
        <w:gridCol w:w="2315"/>
        <w:gridCol w:w="3503"/>
      </w:tblGrid>
      <w:tr w14:paraId="5902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398" w:type="pct"/>
            <w:vAlign w:val="center"/>
          </w:tcPr>
          <w:p w14:paraId="14808377">
            <w:pPr>
              <w:pStyle w:val="10"/>
              <w:keepNext w:val="0"/>
              <w:keepLines w:val="0"/>
              <w:pageBreakBefore w:val="0"/>
              <w:widowControl/>
              <w:kinsoku/>
              <w:wordWrap/>
              <w:overflowPunct/>
              <w:topLinePunct w:val="0"/>
              <w:autoSpaceDE/>
              <w:autoSpaceDN/>
              <w:bidi w:val="0"/>
              <w:adjustRightInd/>
              <w:snapToGrid/>
              <w:ind w:left="0" w:right="0"/>
              <w:jc w:val="center"/>
              <w:textAlignment w:val="auto"/>
              <w:rPr>
                <w:rFonts w:ascii="Arial" w:hAnsi="Arial" w:eastAsia="Arial" w:cs="Arial"/>
                <w:i w:val="0"/>
                <w:iCs w:val="0"/>
                <w:caps w:val="0"/>
                <w:color w:val="333333"/>
                <w:spacing w:val="0"/>
                <w:sz w:val="24"/>
                <w:szCs w:val="24"/>
                <w:shd w:val="clear" w:fill="FFFFFF"/>
                <w:lang w:val="en-US" w:eastAsia="zh-CN" w:bidi="ar-SA"/>
              </w:rPr>
            </w:pPr>
            <w:r>
              <w:rPr>
                <w:rFonts w:ascii="Arial" w:hAnsi="Arial" w:eastAsia="Arial" w:cs="Arial"/>
                <w:i w:val="0"/>
                <w:iCs w:val="0"/>
                <w:caps w:val="0"/>
                <w:color w:val="333333"/>
                <w:spacing w:val="0"/>
                <w:sz w:val="24"/>
                <w:szCs w:val="24"/>
                <w:shd w:val="clear" w:fill="FFFFFF"/>
                <w:lang w:val="en-US" w:eastAsia="zh-CN" w:bidi="ar-SA"/>
              </w:rPr>
              <w:t>序号</w:t>
            </w:r>
          </w:p>
        </w:tc>
        <w:tc>
          <w:tcPr>
            <w:tcW w:w="1127" w:type="pct"/>
            <w:vAlign w:val="center"/>
          </w:tcPr>
          <w:p w14:paraId="5D6828FA">
            <w:pPr>
              <w:pStyle w:val="10"/>
              <w:keepNext w:val="0"/>
              <w:keepLines w:val="0"/>
              <w:pageBreakBefore w:val="0"/>
              <w:widowControl/>
              <w:kinsoku/>
              <w:wordWrap/>
              <w:overflowPunct/>
              <w:topLinePunct w:val="0"/>
              <w:autoSpaceDE/>
              <w:autoSpaceDN/>
              <w:bidi w:val="0"/>
              <w:adjustRightInd/>
              <w:snapToGrid/>
              <w:ind w:left="0" w:right="0"/>
              <w:jc w:val="center"/>
              <w:textAlignment w:val="auto"/>
              <w:rPr>
                <w:rFonts w:ascii="Arial" w:hAnsi="Arial" w:eastAsia="Arial" w:cs="Arial"/>
                <w:i w:val="0"/>
                <w:iCs w:val="0"/>
                <w:caps w:val="0"/>
                <w:color w:val="333333"/>
                <w:spacing w:val="0"/>
                <w:sz w:val="24"/>
                <w:szCs w:val="24"/>
                <w:shd w:val="clear" w:fill="FFFFFF"/>
                <w:lang w:val="en-US" w:eastAsia="zh-CN" w:bidi="ar-SA"/>
              </w:rPr>
            </w:pPr>
            <w:r>
              <w:rPr>
                <w:rFonts w:ascii="Arial" w:hAnsi="Arial" w:eastAsia="Arial" w:cs="Arial"/>
                <w:i w:val="0"/>
                <w:iCs w:val="0"/>
                <w:caps w:val="0"/>
                <w:color w:val="333333"/>
                <w:spacing w:val="0"/>
                <w:sz w:val="24"/>
                <w:szCs w:val="24"/>
                <w:shd w:val="clear" w:fill="FFFFFF"/>
                <w:lang w:val="en-US" w:eastAsia="zh-CN" w:bidi="ar-SA"/>
              </w:rPr>
              <w:t>专著名称</w:t>
            </w:r>
          </w:p>
        </w:tc>
        <w:tc>
          <w:tcPr>
            <w:tcW w:w="1382" w:type="pct"/>
            <w:vAlign w:val="center"/>
          </w:tcPr>
          <w:p w14:paraId="17EA41A2">
            <w:pPr>
              <w:pStyle w:val="10"/>
              <w:keepNext w:val="0"/>
              <w:keepLines w:val="0"/>
              <w:pageBreakBefore w:val="0"/>
              <w:widowControl/>
              <w:kinsoku/>
              <w:wordWrap/>
              <w:overflowPunct/>
              <w:topLinePunct w:val="0"/>
              <w:autoSpaceDE/>
              <w:autoSpaceDN/>
              <w:bidi w:val="0"/>
              <w:adjustRightInd/>
              <w:snapToGrid/>
              <w:ind w:left="0" w:right="0"/>
              <w:jc w:val="center"/>
              <w:textAlignment w:val="auto"/>
              <w:rPr>
                <w:rFonts w:ascii="Arial" w:hAnsi="Arial" w:eastAsia="Arial" w:cs="Arial"/>
                <w:i w:val="0"/>
                <w:iCs w:val="0"/>
                <w:caps w:val="0"/>
                <w:color w:val="333333"/>
                <w:spacing w:val="0"/>
                <w:sz w:val="24"/>
                <w:szCs w:val="24"/>
                <w:shd w:val="clear" w:fill="FFFFFF"/>
                <w:lang w:val="en-US" w:eastAsia="zh-CN" w:bidi="ar-SA"/>
              </w:rPr>
            </w:pPr>
            <w:r>
              <w:rPr>
                <w:rFonts w:ascii="Arial" w:hAnsi="Arial" w:eastAsia="Arial" w:cs="Arial"/>
                <w:i w:val="0"/>
                <w:iCs w:val="0"/>
                <w:caps w:val="0"/>
                <w:color w:val="333333"/>
                <w:spacing w:val="0"/>
                <w:sz w:val="24"/>
                <w:szCs w:val="24"/>
                <w:shd w:val="clear" w:fill="FFFFFF"/>
                <w:lang w:val="en-US" w:eastAsia="zh-CN" w:bidi="ar-SA"/>
              </w:rPr>
              <w:t>出版社</w:t>
            </w:r>
          </w:p>
        </w:tc>
        <w:tc>
          <w:tcPr>
            <w:tcW w:w="2091" w:type="pct"/>
            <w:vAlign w:val="center"/>
          </w:tcPr>
          <w:p w14:paraId="24365236">
            <w:pPr>
              <w:pStyle w:val="10"/>
              <w:keepNext w:val="0"/>
              <w:keepLines w:val="0"/>
              <w:pageBreakBefore w:val="0"/>
              <w:widowControl/>
              <w:kinsoku/>
              <w:wordWrap/>
              <w:overflowPunct/>
              <w:topLinePunct w:val="0"/>
              <w:autoSpaceDE/>
              <w:autoSpaceDN/>
              <w:bidi w:val="0"/>
              <w:adjustRightInd/>
              <w:snapToGrid/>
              <w:spacing w:line="273" w:lineRule="auto"/>
              <w:ind w:left="0" w:right="0" w:hanging="209"/>
              <w:jc w:val="center"/>
              <w:textAlignment w:val="auto"/>
              <w:rPr>
                <w:sz w:val="21"/>
              </w:rPr>
            </w:pPr>
            <w:bookmarkStart w:id="0" w:name="OLE_LINK1"/>
            <w:r>
              <w:rPr>
                <w:sz w:val="24"/>
                <w:szCs w:val="24"/>
              </w:rPr>
              <w:t>学术贡献及影响力</w:t>
            </w:r>
            <w:bookmarkEnd w:id="0"/>
          </w:p>
        </w:tc>
      </w:tr>
      <w:tr w14:paraId="23FE3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jc w:val="center"/>
        </w:trPr>
        <w:tc>
          <w:tcPr>
            <w:tcW w:w="398" w:type="pct"/>
            <w:vAlign w:val="center"/>
          </w:tcPr>
          <w:p w14:paraId="083B21F6">
            <w:pPr>
              <w:pStyle w:val="10"/>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Arial" w:hAnsi="Arial" w:eastAsia="Arial" w:cs="Arial"/>
                <w:i w:val="0"/>
                <w:iCs w:val="0"/>
                <w:caps w:val="0"/>
                <w:color w:val="333333"/>
                <w:spacing w:val="0"/>
                <w:sz w:val="24"/>
                <w:szCs w:val="24"/>
                <w:shd w:val="clear" w:fill="FFFFFF"/>
                <w:lang w:val="en-US" w:eastAsia="zh-CN" w:bidi="ar-SA"/>
              </w:rPr>
            </w:pPr>
            <w:r>
              <w:rPr>
                <w:rFonts w:ascii="Arial" w:hAnsi="Arial" w:eastAsia="Arial" w:cs="Arial"/>
                <w:i w:val="0"/>
                <w:iCs w:val="0"/>
                <w:caps w:val="0"/>
                <w:color w:val="333333"/>
                <w:spacing w:val="0"/>
                <w:sz w:val="24"/>
                <w:szCs w:val="24"/>
                <w:shd w:val="clear" w:fill="FFFFFF"/>
                <w:lang w:val="en-US" w:eastAsia="zh-CN" w:bidi="ar-SA"/>
              </w:rPr>
              <w:t>1</w:t>
            </w:r>
          </w:p>
        </w:tc>
        <w:tc>
          <w:tcPr>
            <w:tcW w:w="1127" w:type="pct"/>
            <w:vAlign w:val="center"/>
          </w:tcPr>
          <w:p w14:paraId="27B0EC13">
            <w:pPr>
              <w:pStyle w:val="10"/>
              <w:keepNext w:val="0"/>
              <w:keepLines w:val="0"/>
              <w:pageBreakBefore w:val="0"/>
              <w:widowControl/>
              <w:kinsoku/>
              <w:wordWrap/>
              <w:overflowPunct/>
              <w:topLinePunct w:val="0"/>
              <w:autoSpaceDE/>
              <w:autoSpaceDN/>
              <w:bidi w:val="0"/>
              <w:adjustRightInd/>
              <w:snapToGrid/>
              <w:ind w:left="0" w:right="0"/>
              <w:jc w:val="center"/>
              <w:textAlignment w:val="auto"/>
              <w:rPr>
                <w:rFonts w:ascii="Arial" w:hAnsi="Arial" w:eastAsia="Arial" w:cs="Arial"/>
                <w:i w:val="0"/>
                <w:iCs w:val="0"/>
                <w:caps w:val="0"/>
                <w:color w:val="333333"/>
                <w:spacing w:val="0"/>
                <w:sz w:val="24"/>
                <w:szCs w:val="24"/>
                <w:shd w:val="clear" w:fill="FFFFFF"/>
                <w:lang w:val="en-US" w:eastAsia="zh-CN" w:bidi="ar-SA"/>
              </w:rPr>
            </w:pPr>
            <w:r>
              <w:rPr>
                <w:rFonts w:ascii="Arial" w:hAnsi="Arial" w:eastAsia="Arial" w:cs="Arial"/>
                <w:i w:val="0"/>
                <w:iCs w:val="0"/>
                <w:caps w:val="0"/>
                <w:color w:val="333333"/>
                <w:spacing w:val="0"/>
                <w:sz w:val="24"/>
                <w:szCs w:val="24"/>
                <w:shd w:val="clear" w:fill="FFFFFF"/>
                <w:lang w:val="en-US" w:eastAsia="en-US" w:bidi="ar-SA"/>
              </w:rPr>
              <w:t>北京红色出版</w:t>
            </w:r>
          </w:p>
        </w:tc>
        <w:tc>
          <w:tcPr>
            <w:tcW w:w="1382" w:type="pct"/>
            <w:vAlign w:val="center"/>
          </w:tcPr>
          <w:p w14:paraId="38FE235D">
            <w:pPr>
              <w:pStyle w:val="10"/>
              <w:keepNext w:val="0"/>
              <w:keepLines w:val="0"/>
              <w:pageBreakBefore w:val="0"/>
              <w:widowControl/>
              <w:kinsoku/>
              <w:wordWrap/>
              <w:overflowPunct/>
              <w:topLinePunct w:val="0"/>
              <w:autoSpaceDE/>
              <w:autoSpaceDN/>
              <w:bidi w:val="0"/>
              <w:adjustRightInd/>
              <w:snapToGrid/>
              <w:ind w:left="0" w:right="0"/>
              <w:jc w:val="center"/>
              <w:textAlignment w:val="auto"/>
              <w:rPr>
                <w:rFonts w:ascii="Arial" w:hAnsi="Arial" w:eastAsia="Arial" w:cs="Arial"/>
                <w:i w:val="0"/>
                <w:iCs w:val="0"/>
                <w:caps w:val="0"/>
                <w:color w:val="333333"/>
                <w:spacing w:val="0"/>
                <w:sz w:val="24"/>
                <w:szCs w:val="24"/>
                <w:shd w:val="clear" w:fill="FFFFFF"/>
                <w:lang w:val="en-US" w:eastAsia="zh-CN" w:bidi="ar-SA"/>
              </w:rPr>
            </w:pPr>
            <w:r>
              <w:rPr>
                <w:rFonts w:ascii="Arial" w:hAnsi="Arial" w:eastAsia="Arial" w:cs="Arial"/>
                <w:i w:val="0"/>
                <w:iCs w:val="0"/>
                <w:caps w:val="0"/>
                <w:color w:val="333333"/>
                <w:spacing w:val="0"/>
                <w:sz w:val="24"/>
                <w:szCs w:val="24"/>
                <w:shd w:val="clear" w:fill="FFFFFF"/>
                <w:lang w:val="en-US" w:eastAsia="en-US" w:bidi="ar-SA"/>
              </w:rPr>
              <w:t>北京出版社</w:t>
            </w:r>
          </w:p>
        </w:tc>
        <w:tc>
          <w:tcPr>
            <w:tcW w:w="2091" w:type="pct"/>
            <w:vAlign w:val="center"/>
          </w:tcPr>
          <w:p w14:paraId="2FCF2581">
            <w:pPr>
              <w:pStyle w:val="5"/>
              <w:keepNext w:val="0"/>
              <w:keepLines w:val="0"/>
              <w:pageBreakBefore w:val="0"/>
              <w:widowControl/>
              <w:kinsoku/>
              <w:wordWrap/>
              <w:overflowPunct/>
              <w:topLinePunct w:val="0"/>
              <w:autoSpaceDE/>
              <w:autoSpaceDN/>
              <w:bidi w:val="0"/>
              <w:adjustRightInd/>
              <w:snapToGrid/>
              <w:spacing w:before="0"/>
              <w:ind w:left="0" w:right="0"/>
              <w:jc w:val="center"/>
              <w:textAlignment w:val="auto"/>
              <w:rPr>
                <w:rFonts w:ascii="Arial" w:hAnsi="Arial" w:eastAsia="Arial" w:cs="Arial"/>
                <w:i w:val="0"/>
                <w:iCs w:val="0"/>
                <w:caps w:val="0"/>
                <w:color w:val="333333"/>
                <w:spacing w:val="0"/>
                <w:sz w:val="24"/>
                <w:szCs w:val="24"/>
                <w:shd w:val="clear" w:fill="FFFFFF"/>
              </w:rPr>
            </w:pPr>
            <w:r>
              <w:rPr>
                <w:rFonts w:ascii="Arial" w:hAnsi="Arial" w:eastAsia="Arial" w:cs="Arial"/>
                <w:i w:val="0"/>
                <w:iCs w:val="0"/>
                <w:caps w:val="0"/>
                <w:color w:val="333333"/>
                <w:spacing w:val="0"/>
                <w:sz w:val="24"/>
                <w:szCs w:val="24"/>
                <w:shd w:val="clear" w:fill="FFFFFF"/>
              </w:rPr>
              <w:t>获北京市第十六届哲社科成果二等奖</w:t>
            </w:r>
            <w:r>
              <w:rPr>
                <w:rFonts w:hint="eastAsia" w:ascii="Arial" w:hAnsi="Arial" w:eastAsia="宋体" w:cs="Arial"/>
                <w:i w:val="0"/>
                <w:iCs w:val="0"/>
                <w:caps w:val="0"/>
                <w:color w:val="333333"/>
                <w:spacing w:val="0"/>
                <w:sz w:val="24"/>
                <w:szCs w:val="24"/>
                <w:shd w:val="clear" w:fill="FFFFFF"/>
                <w:lang w:eastAsia="zh-CN"/>
              </w:rPr>
              <w:t>，</w:t>
            </w:r>
            <w:r>
              <w:rPr>
                <w:rFonts w:ascii="Arial" w:hAnsi="Arial" w:eastAsia="Arial" w:cs="Arial"/>
                <w:i w:val="0"/>
                <w:iCs w:val="0"/>
                <w:caps w:val="0"/>
                <w:color w:val="333333"/>
                <w:spacing w:val="0"/>
                <w:sz w:val="24"/>
                <w:szCs w:val="24"/>
                <w:shd w:val="clear" w:fill="FFFFFF"/>
              </w:rPr>
              <w:t>为近现代出版史、意识形态研究奠定理论基础，其史料价值获学界高度认可。</w:t>
            </w:r>
          </w:p>
        </w:tc>
      </w:tr>
      <w:tr w14:paraId="0752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398" w:type="pct"/>
            <w:vAlign w:val="center"/>
          </w:tcPr>
          <w:p w14:paraId="4F8554D5">
            <w:pPr>
              <w:pStyle w:val="10"/>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Arial" w:hAnsi="Arial" w:eastAsia="Arial" w:cs="Arial"/>
                <w:i w:val="0"/>
                <w:iCs w:val="0"/>
                <w:caps w:val="0"/>
                <w:color w:val="333333"/>
                <w:spacing w:val="0"/>
                <w:sz w:val="24"/>
                <w:szCs w:val="24"/>
                <w:shd w:val="clear" w:fill="FFFFFF"/>
                <w:lang w:val="en-US" w:eastAsia="zh-CN" w:bidi="ar-SA"/>
              </w:rPr>
            </w:pPr>
            <w:r>
              <w:rPr>
                <w:rFonts w:hint="eastAsia" w:ascii="Arial" w:hAnsi="Arial" w:eastAsia="Arial" w:cs="Arial"/>
                <w:i w:val="0"/>
                <w:iCs w:val="0"/>
                <w:caps w:val="0"/>
                <w:color w:val="333333"/>
                <w:spacing w:val="0"/>
                <w:sz w:val="24"/>
                <w:szCs w:val="24"/>
                <w:shd w:val="clear" w:fill="FFFFFF"/>
                <w:lang w:val="en-US" w:eastAsia="zh-CN" w:bidi="ar-SA"/>
              </w:rPr>
              <w:t>2</w:t>
            </w:r>
          </w:p>
        </w:tc>
        <w:tc>
          <w:tcPr>
            <w:tcW w:w="1127" w:type="pct"/>
            <w:vAlign w:val="center"/>
          </w:tcPr>
          <w:p w14:paraId="0DEC2044">
            <w:pPr>
              <w:pStyle w:val="10"/>
              <w:keepNext w:val="0"/>
              <w:keepLines w:val="0"/>
              <w:pageBreakBefore w:val="0"/>
              <w:widowControl/>
              <w:kinsoku/>
              <w:wordWrap/>
              <w:overflowPunct/>
              <w:topLinePunct w:val="0"/>
              <w:autoSpaceDE/>
              <w:autoSpaceDN/>
              <w:bidi w:val="0"/>
              <w:adjustRightInd/>
              <w:snapToGrid/>
              <w:ind w:left="0" w:right="0"/>
              <w:jc w:val="center"/>
              <w:textAlignment w:val="auto"/>
              <w:rPr>
                <w:rFonts w:ascii="Arial" w:hAnsi="Arial" w:eastAsia="Arial" w:cs="Arial"/>
                <w:i w:val="0"/>
                <w:iCs w:val="0"/>
                <w:caps w:val="0"/>
                <w:color w:val="333333"/>
                <w:spacing w:val="0"/>
                <w:sz w:val="24"/>
                <w:szCs w:val="24"/>
                <w:shd w:val="clear" w:fill="FFFFFF"/>
                <w:lang w:val="en-US" w:eastAsia="en-US" w:bidi="ar-SA"/>
              </w:rPr>
            </w:pPr>
            <w:r>
              <w:rPr>
                <w:rFonts w:hint="eastAsia" w:ascii="Arial" w:hAnsi="Arial" w:eastAsia="Arial" w:cs="Arial"/>
                <w:i w:val="0"/>
                <w:iCs w:val="0"/>
                <w:caps w:val="0"/>
                <w:color w:val="333333"/>
                <w:spacing w:val="0"/>
                <w:sz w:val="24"/>
                <w:szCs w:val="24"/>
                <w:shd w:val="clear" w:fill="FFFFFF"/>
                <w:lang w:val="en-US" w:eastAsia="zh-CN" w:bidi="ar-SA"/>
              </w:rPr>
              <w:t>中国印刷文化传承研究</w:t>
            </w:r>
          </w:p>
        </w:tc>
        <w:tc>
          <w:tcPr>
            <w:tcW w:w="1382" w:type="pct"/>
            <w:vAlign w:val="center"/>
          </w:tcPr>
          <w:p w14:paraId="0E25A2EB">
            <w:pPr>
              <w:pStyle w:val="10"/>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Arial" w:hAnsi="Arial" w:eastAsia="Arial" w:cs="Arial"/>
                <w:i w:val="0"/>
                <w:iCs w:val="0"/>
                <w:caps w:val="0"/>
                <w:color w:val="333333"/>
                <w:spacing w:val="0"/>
                <w:sz w:val="24"/>
                <w:szCs w:val="24"/>
                <w:shd w:val="clear" w:fill="FFFFFF"/>
                <w:lang w:val="en-US" w:eastAsia="zh-CN" w:bidi="ar-SA"/>
              </w:rPr>
            </w:pPr>
            <w:r>
              <w:rPr>
                <w:rFonts w:hint="eastAsia" w:ascii="Arial" w:hAnsi="Arial" w:eastAsia="Arial" w:cs="Arial"/>
                <w:i w:val="0"/>
                <w:iCs w:val="0"/>
                <w:caps w:val="0"/>
                <w:color w:val="333333"/>
                <w:spacing w:val="0"/>
                <w:sz w:val="24"/>
                <w:szCs w:val="24"/>
                <w:shd w:val="clear" w:fill="FFFFFF"/>
                <w:lang w:val="en-US" w:eastAsia="zh-CN" w:bidi="ar-SA"/>
              </w:rPr>
              <w:t>中国水利水电出版社</w:t>
            </w:r>
          </w:p>
        </w:tc>
        <w:tc>
          <w:tcPr>
            <w:tcW w:w="2091" w:type="pct"/>
            <w:vAlign w:val="center"/>
          </w:tcPr>
          <w:p w14:paraId="1B266CF8">
            <w:pPr>
              <w:pStyle w:val="5"/>
              <w:keepNext w:val="0"/>
              <w:keepLines w:val="0"/>
              <w:pageBreakBefore w:val="0"/>
              <w:widowControl/>
              <w:kinsoku/>
              <w:wordWrap/>
              <w:overflowPunct/>
              <w:topLinePunct w:val="0"/>
              <w:autoSpaceDE/>
              <w:autoSpaceDN/>
              <w:bidi w:val="0"/>
              <w:adjustRightInd/>
              <w:snapToGrid/>
              <w:spacing w:before="0"/>
              <w:ind w:left="0" w:right="0"/>
              <w:jc w:val="center"/>
              <w:textAlignment w:val="auto"/>
              <w:rPr>
                <w:rFonts w:hint="eastAsia" w:ascii="Arial" w:hAnsi="Arial" w:eastAsia="Arial" w:cs="Arial"/>
                <w:i w:val="0"/>
                <w:iCs w:val="0"/>
                <w:caps w:val="0"/>
                <w:color w:val="333333"/>
                <w:spacing w:val="0"/>
                <w:sz w:val="24"/>
                <w:szCs w:val="24"/>
                <w:shd w:val="clear" w:fill="FFFFFF"/>
                <w:lang w:eastAsia="zh-CN"/>
              </w:rPr>
            </w:pPr>
            <w:r>
              <w:rPr>
                <w:rFonts w:hint="eastAsia" w:ascii="Arial" w:hAnsi="Arial" w:eastAsia="Arial" w:cs="Arial"/>
                <w:i w:val="0"/>
                <w:iCs w:val="0"/>
                <w:caps w:val="0"/>
                <w:color w:val="333333"/>
                <w:spacing w:val="0"/>
                <w:sz w:val="24"/>
                <w:szCs w:val="24"/>
                <w:shd w:val="clear" w:fill="FFFFFF"/>
                <w:lang w:eastAsia="zh-CN"/>
              </w:rPr>
              <w:t>梳理了印刷技术史与文化传播，填补研究空白，为出版史、非遗保护提供跨学科范式，被高校教材及联合国援引。</w:t>
            </w:r>
          </w:p>
        </w:tc>
      </w:tr>
    </w:tbl>
    <w:p w14:paraId="0C6208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color w:val="0000FF"/>
          <w:kern w:val="0"/>
          <w:sz w:val="28"/>
          <w:szCs w:val="28"/>
          <w:lang w:val="en-US" w:eastAsia="zh-CN" w:bidi="ar"/>
        </w:rPr>
      </w:pPr>
      <w:r>
        <w:rPr>
          <w:rFonts w:hint="eastAsia" w:ascii="楷体" w:hAnsi="楷体" w:eastAsia="楷体" w:cs="楷体"/>
          <w:b w:val="0"/>
          <w:bCs w:val="0"/>
          <w:color w:val="0000FF"/>
          <w:kern w:val="0"/>
          <w:sz w:val="28"/>
          <w:szCs w:val="28"/>
          <w:lang w:val="en-US" w:eastAsia="zh-CN" w:bidi="ar"/>
        </w:rPr>
        <w:t>（从专著获奖、研究价值、学术地位、学界或业界反响来描述其学术贡献及影响力）</w:t>
      </w:r>
    </w:p>
    <w:p w14:paraId="1A4890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color w:val="0000FF"/>
          <w:kern w:val="0"/>
          <w:sz w:val="28"/>
          <w:szCs w:val="28"/>
          <w:lang w:val="en-US" w:eastAsia="zh-CN" w:bidi="ar"/>
        </w:rPr>
      </w:pPr>
    </w:p>
    <w:p w14:paraId="7D540A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color w:val="0000FF"/>
          <w:kern w:val="0"/>
          <w:sz w:val="28"/>
          <w:szCs w:val="28"/>
          <w:lang w:val="en-US" w:eastAsia="zh-CN" w:bidi="ar"/>
        </w:rPr>
      </w:pPr>
    </w:p>
    <w:p w14:paraId="29748A60">
      <w:pPr>
        <w:keepNext w:val="0"/>
        <w:keepLines w:val="0"/>
        <w:widowControl/>
        <w:suppressLineNumbers w:val="0"/>
        <w:jc w:val="left"/>
      </w:pPr>
      <w:r>
        <w:rPr>
          <w:rFonts w:ascii="黑体" w:hAnsi="宋体" w:eastAsia="黑体" w:cs="黑体"/>
          <w:color w:val="000000"/>
          <w:kern w:val="0"/>
          <w:sz w:val="31"/>
          <w:szCs w:val="31"/>
          <w:lang w:val="en-US" w:eastAsia="zh-CN" w:bidi="ar"/>
        </w:rPr>
        <w:t>S050201</w:t>
      </w:r>
      <w:r>
        <w:rPr>
          <w:rFonts w:hint="eastAsia" w:ascii="黑体" w:hAnsi="宋体" w:eastAsia="黑体" w:cs="黑体"/>
          <w:color w:val="000000"/>
          <w:kern w:val="0"/>
          <w:sz w:val="31"/>
          <w:szCs w:val="31"/>
          <w:lang w:val="en-US" w:eastAsia="zh-CN" w:bidi="ar"/>
        </w:rPr>
        <w:t>(</w:t>
      </w:r>
      <w:r>
        <w:rPr>
          <w:rFonts w:ascii="黑体" w:hAnsi="宋体" w:eastAsia="黑体" w:cs="黑体"/>
          <w:color w:val="000000"/>
          <w:kern w:val="0"/>
          <w:sz w:val="31"/>
          <w:szCs w:val="31"/>
          <w:lang w:val="en-US" w:eastAsia="zh-CN" w:bidi="ar"/>
        </w:rPr>
        <w:t>Z050102</w:t>
      </w:r>
      <w:r>
        <w:rPr>
          <w:rFonts w:hint="eastAsia" w:ascii="黑体" w:hAnsi="宋体" w:eastAsia="黑体" w:cs="黑体"/>
          <w:color w:val="000000"/>
          <w:kern w:val="0"/>
          <w:sz w:val="31"/>
          <w:szCs w:val="31"/>
          <w:lang w:val="en-US" w:eastAsia="zh-CN" w:bidi="ar"/>
        </w:rPr>
        <w:t>)</w:t>
      </w:r>
      <w:r>
        <w:rPr>
          <w:rFonts w:ascii="黑体" w:hAnsi="宋体" w:eastAsia="黑体" w:cs="黑体"/>
          <w:color w:val="000000"/>
          <w:kern w:val="0"/>
          <w:sz w:val="31"/>
          <w:szCs w:val="31"/>
          <w:lang w:val="en-US" w:eastAsia="zh-CN" w:bidi="ar"/>
        </w:rPr>
        <w:t xml:space="preserve"> 智库建设与咨政研究情况 </w:t>
      </w:r>
    </w:p>
    <w:p w14:paraId="4D2C0C58">
      <w:pPr>
        <w:pStyle w:val="4"/>
        <w:keepNext w:val="0"/>
        <w:keepLines w:val="0"/>
        <w:pageBreakBefore w:val="0"/>
        <w:widowControl w:val="0"/>
        <w:kinsoku/>
        <w:wordWrap/>
        <w:overflowPunct/>
        <w:topLinePunct w:val="0"/>
        <w:autoSpaceDE/>
        <w:autoSpaceDN/>
        <w:bidi w:val="0"/>
        <w:adjustRightInd/>
        <w:snapToGrid/>
        <w:spacing w:line="500" w:lineRule="exact"/>
        <w:ind w:left="0" w:leftChars="0" w:right="397" w:firstLine="536" w:firstLineChars="200"/>
        <w:jc w:val="both"/>
        <w:textAlignment w:val="auto"/>
      </w:pPr>
      <w:r>
        <w:rPr>
          <w:spacing w:val="-6"/>
          <w:u w:val="single"/>
        </w:rPr>
        <w:t xml:space="preserve">内容：统计时间段内学位点在智库建设和咨政研究方面取得的成效。简要说明成果是否被采纳，以及采纳的部门，限 </w:t>
      </w:r>
      <w:r>
        <w:rPr>
          <w:rFonts w:ascii="Times New Roman" w:eastAsia="Times New Roman"/>
          <w:u w:val="single"/>
        </w:rPr>
        <w:t xml:space="preserve">300 </w:t>
      </w:r>
      <w:r>
        <w:rPr>
          <w:u w:val="single"/>
        </w:rPr>
        <w:t>字。</w:t>
      </w:r>
    </w:p>
    <w:p w14:paraId="713BACA8">
      <w:pPr>
        <w:keepNext w:val="0"/>
        <w:keepLines w:val="0"/>
        <w:pageBreakBefore w:val="0"/>
        <w:widowControl/>
        <w:suppressLineNumbers w:val="0"/>
        <w:kinsoku/>
        <w:wordWrap/>
        <w:overflowPunct/>
        <w:topLinePunct w:val="0"/>
        <w:autoSpaceDE/>
        <w:autoSpaceDN/>
        <w:bidi w:val="0"/>
        <w:adjustRightInd/>
        <w:snapToGrid/>
        <w:spacing w:before="157" w:beforeLines="50"/>
        <w:ind w:firstLine="560" w:firstLineChars="200"/>
        <w:jc w:val="left"/>
        <w:textAlignment w:val="auto"/>
        <w:rPr>
          <w:rFonts w:hint="default"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highlight w:val="yellow"/>
          <w:lang w:val="en-US" w:eastAsia="zh-CN" w:bidi="ar"/>
        </w:rPr>
        <w:t>参考模板一：</w:t>
      </w:r>
    </w:p>
    <w:p w14:paraId="1D2770A4">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 xml:space="preserve">面向粤港澳大湾区建设、深圳中国特色社会主义先行示范区建设的重大决策部署，受广东省委宣传部、广东省印刷复制业协会委托，先后编制《珠三角印刷业发展升级指南实施方案》《广州南沙建设粤港澳大湾区印刷业对外开放连接平台研究》等行业发展升级指南和产业规划，形成系列咨政报告，相关研究成果被中宣部、广东省委宣传部采纳，并被纳入到《印刷业“十四五”时期发展专项规划》中。 </w:t>
      </w:r>
    </w:p>
    <w:p w14:paraId="10B34A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针对出版产业链中数据形式多样、海量异构，存在数据爆炸、特征信息匮乏问题，修订新闻出版信息标准体系表，推动数据采集自动化、数据存储统一化、数据资源高效化，相关成果被中宣部采纳并在全国范围内推广。</w:t>
      </w:r>
    </w:p>
    <w:p w14:paraId="2D5217B4">
      <w:pPr>
        <w:keepNext w:val="0"/>
        <w:keepLines w:val="0"/>
        <w:widowControl/>
        <w:suppressLineNumbers w:val="0"/>
        <w:ind w:firstLine="560" w:firstLineChars="200"/>
        <w:jc w:val="left"/>
        <w:rPr>
          <w:rFonts w:hint="default"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highlight w:val="yellow"/>
          <w:lang w:val="en-US" w:eastAsia="zh-CN" w:bidi="ar"/>
        </w:rPr>
        <w:t>参考模板二：</w:t>
      </w:r>
    </w:p>
    <w:p w14:paraId="702659B8">
      <w:pPr>
        <w:pStyle w:val="4"/>
        <w:keepNext w:val="0"/>
        <w:keepLines w:val="0"/>
        <w:pageBreakBefore w:val="0"/>
        <w:widowControl w:val="0"/>
        <w:kinsoku/>
        <w:wordWrap/>
        <w:overflowPunct/>
        <w:topLinePunct w:val="0"/>
        <w:autoSpaceDE/>
        <w:autoSpaceDN/>
        <w:bidi w:val="0"/>
        <w:adjustRightInd/>
        <w:snapToGrid/>
        <w:spacing w:line="274" w:lineRule="auto"/>
        <w:ind w:left="0" w:leftChars="0" w:right="289" w:firstLine="561" w:firstLineChars="0"/>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专业牵头建设“出版智库”，自2022年首批入选“出版智库高质量建设计划”以来，连续三年入选（2024年更名为“国家新闻出版署出版智库重点培育机构”）。结合学校研究特色和重点，出版智库聚焦融合出版、人才培养、全民阅读等方向，开展全校上下有组织的科研探索。目前已产出成果28项（含报告、平台、设计作品等），其中2022-2023年产出成果17项，2024年产出成果11项</w:t>
      </w:r>
      <w:bookmarkStart w:id="1" w:name="_GoBack"/>
      <w:bookmarkEnd w:id="1"/>
      <w:r>
        <w:rPr>
          <w:rFonts w:hint="eastAsia" w:ascii="宋体" w:hAnsi="宋体" w:eastAsia="宋体" w:cs="宋体"/>
          <w:color w:val="000000"/>
          <w:kern w:val="0"/>
          <w:sz w:val="28"/>
          <w:szCs w:val="28"/>
          <w:lang w:val="en-US" w:eastAsia="zh-CN" w:bidi="ar"/>
        </w:rPr>
        <w:t>。《数字出版企业社会责任评价体系构建与应用研究》入选2025年度《智库成果汇编》，上报中宣部有关领导。智库建设推动了我校出版学科的发展和创新，提高了学校在出版领域的学科竞争力和影响力，为出版行业提供了智力支持和决策咨询服务，促进了出版行业的高质量发展。</w:t>
      </w:r>
    </w:p>
    <w:p w14:paraId="51C469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color w:val="0000FF"/>
          <w:kern w:val="0"/>
          <w:sz w:val="28"/>
          <w:szCs w:val="28"/>
          <w:lang w:val="en-US" w:eastAsia="zh-CN" w:bidi="ar"/>
        </w:rPr>
      </w:pPr>
      <w:r>
        <w:rPr>
          <w:rFonts w:hint="eastAsia" w:ascii="楷体" w:hAnsi="楷体" w:eastAsia="楷体" w:cs="楷体"/>
          <w:b w:val="0"/>
          <w:bCs w:val="0"/>
          <w:color w:val="0000FF"/>
          <w:kern w:val="0"/>
          <w:sz w:val="28"/>
          <w:szCs w:val="28"/>
          <w:lang w:val="en-US" w:eastAsia="zh-CN" w:bidi="ar"/>
        </w:rPr>
        <w:t>（主要写在智库建设和咨政研究方面取得的成效。若没有实体智库，就写学科及平台在服务社会、政策研究等方面取得的成果。可采用数据来说明，并简要说明成果采纳情况）</w:t>
      </w:r>
    </w:p>
    <w:p w14:paraId="7106D3A0">
      <w:pPr>
        <w:keepNext w:val="0"/>
        <w:keepLines w:val="0"/>
        <w:widowControl/>
        <w:suppressLineNumbers w:val="0"/>
        <w:jc w:val="left"/>
        <w:rPr>
          <w:rFonts w:ascii="黑体" w:hAnsi="宋体" w:eastAsia="黑体" w:cs="黑体"/>
          <w:color w:val="000000"/>
          <w:kern w:val="0"/>
          <w:sz w:val="31"/>
          <w:szCs w:val="31"/>
          <w:lang w:val="en-US" w:eastAsia="zh-CN" w:bidi="ar"/>
        </w:rPr>
      </w:pPr>
    </w:p>
    <w:p w14:paraId="54275252">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S050301 科教协同育人情况 </w:t>
      </w:r>
    </w:p>
    <w:p w14:paraId="771E0231">
      <w:pPr>
        <w:pStyle w:val="4"/>
        <w:keepNext w:val="0"/>
        <w:keepLines w:val="0"/>
        <w:pageBreakBefore w:val="0"/>
        <w:widowControl w:val="0"/>
        <w:kinsoku/>
        <w:wordWrap/>
        <w:overflowPunct/>
        <w:topLinePunct w:val="0"/>
        <w:autoSpaceDE/>
        <w:autoSpaceDN/>
        <w:bidi w:val="0"/>
        <w:adjustRightInd/>
        <w:snapToGrid/>
        <w:spacing w:line="500" w:lineRule="exact"/>
        <w:ind w:left="0" w:leftChars="0" w:right="397" w:firstLine="536" w:firstLineChars="200"/>
        <w:jc w:val="both"/>
        <w:textAlignment w:val="auto"/>
        <w:rPr>
          <w:u w:val="single"/>
        </w:rPr>
      </w:pPr>
      <w:r>
        <w:rPr>
          <w:spacing w:val="-6"/>
          <w:u w:val="single"/>
        </w:rPr>
        <w:t>内容：统计时间段内，在推进科教协同育人、完善高水平科研</w:t>
      </w:r>
      <w:r>
        <w:rPr>
          <w:spacing w:val="-7"/>
          <w:u w:val="single"/>
        </w:rPr>
        <w:t>支撑拔尖创新人才培养机制等方面的创新举措及取得的成效，限</w:t>
      </w:r>
      <w:r>
        <w:rPr>
          <w:rFonts w:ascii="Times New Roman" w:eastAsia="Times New Roman"/>
          <w:u w:val="single"/>
        </w:rPr>
        <w:t>300</w:t>
      </w:r>
      <w:r>
        <w:rPr>
          <w:u w:val="single"/>
        </w:rPr>
        <w:t>字。</w:t>
      </w:r>
    </w:p>
    <w:p w14:paraId="6B8E651F">
      <w:pPr>
        <w:keepNext w:val="0"/>
        <w:keepLines w:val="0"/>
        <w:pageBreakBefore w:val="0"/>
        <w:widowControl/>
        <w:suppressLineNumbers w:val="0"/>
        <w:kinsoku/>
        <w:wordWrap/>
        <w:overflowPunct/>
        <w:topLinePunct w:val="0"/>
        <w:autoSpaceDE/>
        <w:autoSpaceDN/>
        <w:bidi w:val="0"/>
        <w:adjustRightInd/>
        <w:snapToGrid/>
        <w:spacing w:before="157" w:beforeLines="50"/>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学位点将科研项目研究内容融入研究生教育教学体系中，邀请工程院院士、国家高层次人才开设专题讲座，讲授前沿技术，强化学生基础研究能力，学生学术素养显著提升。与天津长荣、北人智能等</w:t>
      </w:r>
      <w:r>
        <w:rPr>
          <w:rFonts w:hint="default" w:ascii="Times New Roman" w:hAnsi="Times New Roman" w:eastAsia="宋体" w:cs="Times New Roman"/>
          <w:color w:val="000000"/>
          <w:kern w:val="0"/>
          <w:sz w:val="28"/>
          <w:szCs w:val="28"/>
          <w:lang w:val="en-US" w:eastAsia="zh-CN" w:bidi="ar"/>
        </w:rPr>
        <w:t>20</w:t>
      </w:r>
      <w:r>
        <w:rPr>
          <w:rFonts w:hint="eastAsia" w:ascii="宋体" w:hAnsi="宋体" w:eastAsia="宋体" w:cs="宋体"/>
          <w:color w:val="000000"/>
          <w:kern w:val="0"/>
          <w:sz w:val="28"/>
          <w:szCs w:val="28"/>
          <w:lang w:val="en-US" w:eastAsia="zh-CN" w:bidi="ar"/>
        </w:rPr>
        <w:t>余家行业龙头企业深度合作，开设以解决行业关键技术为目标的特色课程，邀请企业工程技术人员参与到研究生的开题、答辩环节，打造</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项目驱动、双导师制</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的育人模式，研究生的工程实践能力显著提升。设立研究生科研创新计划项目，组织学生参加机械创新设计大赛等学科竞赛，累计获得各类奖项近百项。开展学术交流，注重研究生国际视野和学术交流，研究生在国际学术会议作学术报告，获第三届全国超材料大会优秀学术新人奖等称号。</w:t>
      </w:r>
    </w:p>
    <w:p w14:paraId="6AAD0C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楷体" w:hAnsi="楷体" w:eastAsia="楷体" w:cs="楷体"/>
          <w:b w:val="0"/>
          <w:bCs w:val="0"/>
          <w:color w:val="0000FF"/>
          <w:kern w:val="0"/>
          <w:sz w:val="28"/>
          <w:szCs w:val="28"/>
          <w:lang w:val="en-US" w:eastAsia="zh-CN" w:bidi="ar"/>
        </w:rPr>
        <w:t>（主要写在推进科教协同育人、完善高水平科研支撑拔尖创新人才培养机制等方面的创新举措及取得的成效。）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NTc3MzhjNGRkNGQzZWJjNGMwNjI1NWZmMjgyNjIifQ=="/>
  </w:docVars>
  <w:rsids>
    <w:rsidRoot w:val="00000000"/>
    <w:rsid w:val="07883CD1"/>
    <w:rsid w:val="102C2E16"/>
    <w:rsid w:val="1224276D"/>
    <w:rsid w:val="138F6AC3"/>
    <w:rsid w:val="23255AD4"/>
    <w:rsid w:val="291517AB"/>
    <w:rsid w:val="2BA134A4"/>
    <w:rsid w:val="2D15287A"/>
    <w:rsid w:val="3B684A83"/>
    <w:rsid w:val="3C4778F1"/>
    <w:rsid w:val="3C9C5419"/>
    <w:rsid w:val="451C1DA3"/>
    <w:rsid w:val="49E2286F"/>
    <w:rsid w:val="5AE31486"/>
    <w:rsid w:val="5C0A4E70"/>
    <w:rsid w:val="67E91419"/>
    <w:rsid w:val="72F571CC"/>
    <w:rsid w:val="7374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1"/>
    <w:pPr>
      <w:spacing w:before="142"/>
      <w:ind w:left="380"/>
      <w:outlineLvl w:val="1"/>
    </w:pPr>
    <w:rPr>
      <w:rFonts w:ascii="Microsoft JhengHei" w:hAnsi="Microsoft JhengHei" w:eastAsia="Microsoft JhengHei" w:cs="Microsoft JhengHei"/>
      <w:b/>
      <w:bCs/>
      <w:sz w:val="30"/>
      <w:szCs w:val="30"/>
    </w:rPr>
  </w:style>
  <w:style w:type="paragraph" w:styleId="2">
    <w:name w:val="heading 3"/>
    <w:basedOn w:val="1"/>
    <w:next w:val="1"/>
    <w:qFormat/>
    <w:uiPriority w:val="9"/>
    <w:pPr>
      <w:widowControl/>
      <w:jc w:val="left"/>
      <w:outlineLvl w:val="2"/>
    </w:pPr>
    <w:rPr>
      <w:rFonts w:ascii="宋体" w:hAnsi="宋体" w:cs="宋体"/>
      <w:b/>
      <w:bCs/>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380"/>
    </w:pPr>
    <w:rPr>
      <w:sz w:val="28"/>
      <w:szCs w:val="2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1"/>
    <w:pPr>
      <w:ind w:left="320" w:firstLine="559"/>
    </w:p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4256</Words>
  <Characters>4429</Characters>
  <Lines>0</Lines>
  <Paragraphs>0</Paragraphs>
  <TotalTime>3</TotalTime>
  <ScaleCrop>false</ScaleCrop>
  <LinksUpToDate>false</LinksUpToDate>
  <CharactersWithSpaces>4455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2025-03-17T01:00:00Z</dcterms:created>
  <dc:creator>Administrator</dc:creator>
  <cp:lastModifiedBy>王微</cp:lastModifiedBy>
  <cp:lastPrinted>2025-03-18T09:53:00Z</cp:lastPrinted>
  <dcterms:modified xsi:type="dcterms:W3CDTF">2025-03-19T03:00:50Z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645EA7168E9E496E886C53967F22CF26_13</vt:lpwstr>
  </property>
  <property fmtid="{D5CDD505-2E9C-101B-9397-08002B2CF9AE}" pid="4" name="KSOTemplateDocerSaveRecord">
    <vt:lpwstr>eyJoZGlkIjoiNGMyMmI4NmFmOGM0ZTBmNTYwNzA2MDQxZDk3ZTg5NjIiLCJ1c2VySWQiOiI0NTkzODM3NzIifQ==</vt:lpwstr>
  </property>
</Properties>
</file>